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180" w:rsidRDefault="00065180" w:rsidP="00065180">
      <w:pPr>
        <w:pStyle w:val="Default"/>
        <w:jc w:val="center"/>
        <w:rPr>
          <w:b/>
          <w:bCs/>
          <w:sz w:val="36"/>
          <w:szCs w:val="36"/>
          <w:u w:val="single"/>
        </w:rPr>
      </w:pPr>
      <w:r w:rsidRPr="00065180">
        <w:rPr>
          <w:b/>
          <w:bCs/>
          <w:sz w:val="36"/>
          <w:szCs w:val="36"/>
          <w:u w:val="single"/>
        </w:rPr>
        <w:t>Petit récit historique sur la propriété</w:t>
      </w:r>
    </w:p>
    <w:p w:rsidR="00065180" w:rsidRPr="006D4ADB" w:rsidRDefault="00065180" w:rsidP="00065180">
      <w:pPr>
        <w:pStyle w:val="Default"/>
        <w:jc w:val="center"/>
        <w:rPr>
          <w:b/>
          <w:bCs/>
          <w:sz w:val="22"/>
          <w:szCs w:val="22"/>
          <w:u w:val="single"/>
        </w:rPr>
      </w:pPr>
    </w:p>
    <w:p w:rsidR="00065180" w:rsidRPr="00065180" w:rsidRDefault="00065180" w:rsidP="00065180">
      <w:pPr>
        <w:pStyle w:val="Default"/>
        <w:jc w:val="center"/>
        <w:rPr>
          <w:sz w:val="36"/>
          <w:szCs w:val="36"/>
          <w:u w:val="single"/>
        </w:rPr>
      </w:pPr>
    </w:p>
    <w:p w:rsidR="00065180" w:rsidRDefault="00065180" w:rsidP="00065180">
      <w:pPr>
        <w:pStyle w:val="Default"/>
        <w:rPr>
          <w:b/>
          <w:bCs/>
          <w:sz w:val="32"/>
          <w:szCs w:val="32"/>
          <w:u w:val="single"/>
        </w:rPr>
      </w:pPr>
      <w:r w:rsidRPr="00065180">
        <w:rPr>
          <w:b/>
          <w:bCs/>
          <w:sz w:val="32"/>
          <w:szCs w:val="32"/>
          <w:u w:val="single"/>
        </w:rPr>
        <w:t>I – Du XII</w:t>
      </w:r>
      <w:r w:rsidRPr="00065180">
        <w:rPr>
          <w:b/>
          <w:bCs/>
          <w:sz w:val="21"/>
          <w:szCs w:val="21"/>
          <w:u w:val="single"/>
        </w:rPr>
        <w:t xml:space="preserve">ème </w:t>
      </w:r>
      <w:r w:rsidRPr="00065180">
        <w:rPr>
          <w:b/>
          <w:bCs/>
          <w:sz w:val="32"/>
          <w:szCs w:val="32"/>
          <w:u w:val="single"/>
        </w:rPr>
        <w:t>siècle au XVII</w:t>
      </w:r>
      <w:r w:rsidRPr="00065180">
        <w:rPr>
          <w:b/>
          <w:bCs/>
          <w:sz w:val="21"/>
          <w:szCs w:val="21"/>
          <w:u w:val="single"/>
        </w:rPr>
        <w:t xml:space="preserve">ème </w:t>
      </w:r>
      <w:r w:rsidRPr="00065180">
        <w:rPr>
          <w:b/>
          <w:bCs/>
          <w:sz w:val="32"/>
          <w:szCs w:val="32"/>
          <w:u w:val="single"/>
        </w:rPr>
        <w:t xml:space="preserve">siècle : le « </w:t>
      </w:r>
      <w:proofErr w:type="spellStart"/>
      <w:r w:rsidRPr="00065180">
        <w:rPr>
          <w:b/>
          <w:bCs/>
          <w:i/>
          <w:iCs/>
          <w:sz w:val="32"/>
          <w:szCs w:val="32"/>
          <w:u w:val="single"/>
        </w:rPr>
        <w:t>Campfourtet</w:t>
      </w:r>
      <w:proofErr w:type="spellEnd"/>
      <w:r w:rsidRPr="00065180">
        <w:rPr>
          <w:b/>
          <w:bCs/>
          <w:i/>
          <w:iCs/>
          <w:sz w:val="32"/>
          <w:szCs w:val="32"/>
          <w:u w:val="single"/>
        </w:rPr>
        <w:t xml:space="preserve"> </w:t>
      </w:r>
      <w:r w:rsidRPr="00065180">
        <w:rPr>
          <w:b/>
          <w:bCs/>
          <w:sz w:val="32"/>
          <w:szCs w:val="32"/>
          <w:u w:val="single"/>
        </w:rPr>
        <w:t xml:space="preserve">» </w:t>
      </w:r>
    </w:p>
    <w:p w:rsidR="00065180" w:rsidRPr="00065180" w:rsidRDefault="00065180" w:rsidP="00065180">
      <w:pPr>
        <w:pStyle w:val="Default"/>
        <w:rPr>
          <w:sz w:val="32"/>
          <w:szCs w:val="32"/>
          <w:u w:val="single"/>
        </w:rPr>
      </w:pPr>
    </w:p>
    <w:p w:rsidR="00065180" w:rsidRDefault="00065180" w:rsidP="00065180">
      <w:pPr>
        <w:pStyle w:val="Default"/>
        <w:jc w:val="both"/>
      </w:pPr>
      <w:r w:rsidRPr="002D3F56">
        <w:t xml:space="preserve">D’après l’ouvrage </w:t>
      </w:r>
      <w:r w:rsidRPr="002D3F56">
        <w:rPr>
          <w:i/>
          <w:iCs/>
        </w:rPr>
        <w:t>Bordeaux et ses vins</w:t>
      </w:r>
      <w:r w:rsidRPr="002D3F56">
        <w:t xml:space="preserve">, paru au milieu du XIXème siècle, l’actuelle propriété aurait été dénommée « </w:t>
      </w:r>
      <w:proofErr w:type="spellStart"/>
      <w:r w:rsidRPr="002D3F56">
        <w:t>Campfourtet</w:t>
      </w:r>
      <w:proofErr w:type="spellEnd"/>
      <w:r w:rsidRPr="002D3F56">
        <w:t xml:space="preserve"> » au Moyen Age</w:t>
      </w:r>
      <w:r w:rsidRPr="002D3F56">
        <w:t xml:space="preserve"> </w:t>
      </w:r>
      <w:r w:rsidRPr="002D3F56">
        <w:rPr>
          <w:sz w:val="18"/>
          <w:szCs w:val="18"/>
        </w:rPr>
        <w:t>(1</w:t>
      </w:r>
      <w:r w:rsidR="002D3F56" w:rsidRPr="002D3F56">
        <w:rPr>
          <w:sz w:val="18"/>
          <w:szCs w:val="18"/>
        </w:rPr>
        <w:t>)</w:t>
      </w:r>
      <w:r w:rsidR="002D3F56" w:rsidRPr="002D3F56">
        <w:t xml:space="preserve">. </w:t>
      </w:r>
      <w:r w:rsidRPr="002D3F56">
        <w:t xml:space="preserve">Il s’agissait d’un camp militaire qui permettait de protéger l’entrée principale (N°3 sur la carte) de Saint-Emilion au Nord. </w:t>
      </w:r>
    </w:p>
    <w:p w:rsidR="002D3F56" w:rsidRPr="002D3F56" w:rsidRDefault="002D3F56" w:rsidP="00065180">
      <w:pPr>
        <w:pStyle w:val="Default"/>
        <w:jc w:val="both"/>
      </w:pPr>
    </w:p>
    <w:p w:rsidR="00065180" w:rsidRDefault="00065180" w:rsidP="00065180">
      <w:pPr>
        <w:pStyle w:val="Default"/>
        <w:rPr>
          <w:sz w:val="23"/>
          <w:szCs w:val="23"/>
        </w:rPr>
      </w:pPr>
    </w:p>
    <w:p w:rsidR="00065180" w:rsidRPr="002D3F56" w:rsidRDefault="00065180" w:rsidP="00065180">
      <w:pPr>
        <w:pStyle w:val="Default"/>
        <w:jc w:val="center"/>
        <w:rPr>
          <w:b/>
          <w:u w:val="single"/>
        </w:rPr>
      </w:pPr>
      <w:r w:rsidRPr="002D3F56">
        <w:rPr>
          <w:b/>
          <w:u w:val="single"/>
        </w:rPr>
        <w:t>Carte de Saint-Emilion et de ses remparts au Moyen Age</w:t>
      </w:r>
      <w:r w:rsidRPr="002D3F56">
        <w:rPr>
          <w:b/>
          <w:u w:val="single"/>
        </w:rPr>
        <w:t xml:space="preserve"> ²</w:t>
      </w:r>
    </w:p>
    <w:p w:rsidR="00065180" w:rsidRDefault="00065180" w:rsidP="00065180">
      <w:pPr>
        <w:pStyle w:val="Default"/>
        <w:rPr>
          <w:sz w:val="23"/>
          <w:szCs w:val="23"/>
        </w:rPr>
      </w:pPr>
    </w:p>
    <w:p w:rsidR="00065180" w:rsidRDefault="00065180" w:rsidP="00065180">
      <w:pPr>
        <w:pStyle w:val="Default"/>
        <w:rPr>
          <w:sz w:val="16"/>
          <w:szCs w:val="16"/>
        </w:rPr>
      </w:pPr>
      <w:r>
        <w:rPr>
          <w:sz w:val="16"/>
          <w:szCs w:val="16"/>
        </w:rPr>
        <w:t xml:space="preserve"> </w:t>
      </w:r>
    </w:p>
    <w:p w:rsidR="00065180" w:rsidRDefault="00065180" w:rsidP="00065180">
      <w:pPr>
        <w:pStyle w:val="Default"/>
        <w:ind w:left="708" w:firstLine="708"/>
        <w:rPr>
          <w:sz w:val="16"/>
          <w:szCs w:val="16"/>
        </w:rPr>
      </w:pPr>
      <w:r w:rsidRPr="00065180">
        <w:rPr>
          <w:noProof/>
          <w:sz w:val="16"/>
          <w:szCs w:val="16"/>
          <w:lang w:eastAsia="fr-FR"/>
        </w:rPr>
        <w:drawing>
          <wp:inline distT="0" distB="0" distL="0" distR="0">
            <wp:extent cx="4295775" cy="42481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95775" cy="4248150"/>
                    </a:xfrm>
                    <a:prstGeom prst="rect">
                      <a:avLst/>
                    </a:prstGeom>
                    <a:noFill/>
                    <a:ln>
                      <a:noFill/>
                    </a:ln>
                  </pic:spPr>
                </pic:pic>
              </a:graphicData>
            </a:graphic>
          </wp:inline>
        </w:drawing>
      </w:r>
      <w:r>
        <w:rPr>
          <w:sz w:val="16"/>
          <w:szCs w:val="16"/>
        </w:rPr>
        <w:tab/>
      </w:r>
      <w:r>
        <w:rPr>
          <w:sz w:val="16"/>
          <w:szCs w:val="16"/>
        </w:rPr>
        <w:tab/>
      </w:r>
      <w:r>
        <w:rPr>
          <w:sz w:val="16"/>
          <w:szCs w:val="16"/>
        </w:rPr>
        <w:tab/>
      </w:r>
      <w:r>
        <w:rPr>
          <w:sz w:val="16"/>
          <w:szCs w:val="16"/>
        </w:rPr>
        <w:tab/>
      </w:r>
    </w:p>
    <w:p w:rsidR="00065180" w:rsidRDefault="00065180" w:rsidP="00065180">
      <w:pPr>
        <w:pStyle w:val="Default"/>
        <w:rPr>
          <w:sz w:val="16"/>
          <w:szCs w:val="16"/>
        </w:rPr>
      </w:pPr>
    </w:p>
    <w:p w:rsidR="00065180" w:rsidRDefault="00065180" w:rsidP="00065180">
      <w:pPr>
        <w:autoSpaceDE w:val="0"/>
        <w:autoSpaceDN w:val="0"/>
        <w:adjustRightInd w:val="0"/>
        <w:spacing w:after="0" w:line="240" w:lineRule="auto"/>
        <w:rPr>
          <w:rFonts w:ascii="Arial" w:hAnsi="Arial" w:cs="Arial"/>
          <w:color w:val="000000"/>
          <w:sz w:val="18"/>
          <w:szCs w:val="18"/>
          <w:u w:val="single"/>
        </w:rPr>
      </w:pPr>
      <w:r w:rsidRPr="00065180">
        <w:rPr>
          <w:rFonts w:ascii="Arial" w:hAnsi="Arial" w:cs="Arial"/>
          <w:color w:val="000000"/>
          <w:sz w:val="24"/>
          <w:szCs w:val="24"/>
        </w:rPr>
        <w:t xml:space="preserve"> </w:t>
      </w:r>
      <w:r w:rsidRPr="00065180">
        <w:rPr>
          <w:rFonts w:ascii="Arial" w:hAnsi="Arial" w:cs="Arial"/>
          <w:noProof/>
          <w:color w:val="000000"/>
          <w:sz w:val="24"/>
          <w:szCs w:val="24"/>
          <w:lang w:eastAsia="fr-FR"/>
        </w:rPr>
        <w:drawing>
          <wp:inline distT="0" distB="0" distL="0" distR="0">
            <wp:extent cx="142875" cy="14287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Arial" w:hAnsi="Arial" w:cs="Arial"/>
          <w:color w:val="000000"/>
          <w:sz w:val="24"/>
          <w:szCs w:val="24"/>
        </w:rPr>
        <w:t xml:space="preserve">  </w:t>
      </w:r>
      <w:r w:rsidRPr="00065180">
        <w:rPr>
          <w:rFonts w:ascii="Arial" w:hAnsi="Arial" w:cs="Arial"/>
          <w:b/>
          <w:bCs/>
          <w:color w:val="000000"/>
          <w:sz w:val="18"/>
          <w:szCs w:val="18"/>
          <w:u w:val="single"/>
        </w:rPr>
        <w:t xml:space="preserve">Les remparts et les six Portes </w:t>
      </w:r>
      <w:r w:rsidRPr="00065180">
        <w:rPr>
          <w:rFonts w:ascii="Arial" w:hAnsi="Arial" w:cs="Arial"/>
          <w:color w:val="000000"/>
          <w:sz w:val="18"/>
          <w:szCs w:val="18"/>
          <w:u w:val="single"/>
        </w:rPr>
        <w:t>au Moyen Age</w:t>
      </w:r>
    </w:p>
    <w:p w:rsidR="00065180" w:rsidRPr="00065180" w:rsidRDefault="00065180" w:rsidP="00065180">
      <w:pPr>
        <w:autoSpaceDE w:val="0"/>
        <w:autoSpaceDN w:val="0"/>
        <w:adjustRightInd w:val="0"/>
        <w:spacing w:after="0" w:line="240" w:lineRule="auto"/>
        <w:rPr>
          <w:rFonts w:ascii="Arial" w:hAnsi="Arial" w:cs="Arial"/>
          <w:color w:val="000000"/>
          <w:sz w:val="18"/>
          <w:szCs w:val="18"/>
        </w:rPr>
      </w:pPr>
      <w:r w:rsidRPr="00065180">
        <w:rPr>
          <w:rFonts w:ascii="Arial" w:hAnsi="Arial" w:cs="Arial"/>
          <w:color w:val="000000"/>
          <w:sz w:val="18"/>
          <w:szCs w:val="18"/>
        </w:rPr>
        <w:t xml:space="preserve"> </w:t>
      </w:r>
    </w:p>
    <w:p w:rsidR="00065180" w:rsidRDefault="00065180" w:rsidP="00065180">
      <w:pPr>
        <w:rPr>
          <w:rFonts w:ascii="Arial" w:hAnsi="Arial" w:cs="Arial"/>
          <w:b/>
          <w:bCs/>
          <w:color w:val="000000"/>
          <w:sz w:val="18"/>
          <w:szCs w:val="18"/>
        </w:rPr>
      </w:pPr>
      <w:r w:rsidRPr="00065180">
        <w:rPr>
          <w:rFonts w:ascii="Arial" w:hAnsi="Arial" w:cs="Arial"/>
          <w:b/>
          <w:bCs/>
          <w:color w:val="000000"/>
          <w:sz w:val="18"/>
          <w:szCs w:val="18"/>
        </w:rPr>
        <w:t xml:space="preserve">1 - La Tour du Roy </w:t>
      </w:r>
      <w:r>
        <w:rPr>
          <w:rFonts w:ascii="Arial" w:hAnsi="Arial" w:cs="Arial"/>
          <w:b/>
          <w:bCs/>
          <w:color w:val="000000"/>
          <w:sz w:val="18"/>
          <w:szCs w:val="18"/>
        </w:rPr>
        <w:t xml:space="preserve">    </w:t>
      </w:r>
      <w:r w:rsidRPr="00065180">
        <w:rPr>
          <w:rFonts w:ascii="Arial" w:hAnsi="Arial" w:cs="Arial"/>
          <w:b/>
          <w:color w:val="000000"/>
          <w:sz w:val="18"/>
          <w:szCs w:val="18"/>
        </w:rPr>
        <w:t>2</w:t>
      </w:r>
      <w:r w:rsidRPr="00065180">
        <w:rPr>
          <w:rFonts w:ascii="Arial" w:hAnsi="Arial" w:cs="Arial"/>
          <w:color w:val="000000"/>
          <w:sz w:val="18"/>
          <w:szCs w:val="18"/>
        </w:rPr>
        <w:t xml:space="preserve"> - </w:t>
      </w:r>
      <w:r w:rsidRPr="00065180">
        <w:rPr>
          <w:rFonts w:ascii="Arial" w:hAnsi="Arial" w:cs="Arial"/>
          <w:b/>
          <w:bCs/>
          <w:color w:val="000000"/>
          <w:sz w:val="18"/>
          <w:szCs w:val="18"/>
        </w:rPr>
        <w:t xml:space="preserve">Le palais Cardinal </w:t>
      </w:r>
      <w:r>
        <w:rPr>
          <w:rFonts w:ascii="Arial" w:hAnsi="Arial" w:cs="Arial"/>
          <w:b/>
          <w:bCs/>
          <w:color w:val="000000"/>
          <w:sz w:val="18"/>
          <w:szCs w:val="18"/>
        </w:rPr>
        <w:t xml:space="preserve">    </w:t>
      </w:r>
      <w:r w:rsidRPr="00065180">
        <w:rPr>
          <w:rFonts w:ascii="Arial" w:hAnsi="Arial" w:cs="Arial"/>
          <w:b/>
          <w:color w:val="000000"/>
          <w:sz w:val="18"/>
          <w:szCs w:val="18"/>
        </w:rPr>
        <w:t>3</w:t>
      </w:r>
      <w:r w:rsidRPr="00065180">
        <w:rPr>
          <w:rFonts w:ascii="Arial" w:hAnsi="Arial" w:cs="Arial"/>
          <w:color w:val="000000"/>
          <w:sz w:val="18"/>
          <w:szCs w:val="18"/>
        </w:rPr>
        <w:t xml:space="preserve"> - </w:t>
      </w:r>
      <w:r w:rsidRPr="00065180">
        <w:rPr>
          <w:rFonts w:ascii="Arial" w:hAnsi="Arial" w:cs="Arial"/>
          <w:b/>
          <w:bCs/>
          <w:color w:val="000000"/>
          <w:sz w:val="18"/>
          <w:szCs w:val="18"/>
        </w:rPr>
        <w:t xml:space="preserve">La Porte Bourgeoise </w:t>
      </w:r>
      <w:r>
        <w:rPr>
          <w:rFonts w:ascii="Arial" w:hAnsi="Arial" w:cs="Arial"/>
          <w:b/>
          <w:bCs/>
          <w:color w:val="000000"/>
          <w:sz w:val="18"/>
          <w:szCs w:val="18"/>
        </w:rPr>
        <w:t xml:space="preserve">   </w:t>
      </w:r>
      <w:r w:rsidRPr="00065180">
        <w:rPr>
          <w:rFonts w:ascii="Arial" w:hAnsi="Arial" w:cs="Arial"/>
          <w:b/>
          <w:color w:val="000000"/>
          <w:sz w:val="18"/>
          <w:szCs w:val="18"/>
        </w:rPr>
        <w:t xml:space="preserve">4 </w:t>
      </w:r>
      <w:r w:rsidRPr="00065180">
        <w:rPr>
          <w:rFonts w:ascii="Arial" w:hAnsi="Arial" w:cs="Arial"/>
          <w:color w:val="000000"/>
          <w:sz w:val="18"/>
          <w:szCs w:val="18"/>
        </w:rPr>
        <w:t xml:space="preserve">- </w:t>
      </w:r>
      <w:r w:rsidRPr="00065180">
        <w:rPr>
          <w:rFonts w:ascii="Arial" w:hAnsi="Arial" w:cs="Arial"/>
          <w:b/>
          <w:bCs/>
          <w:color w:val="000000"/>
          <w:sz w:val="18"/>
          <w:szCs w:val="18"/>
        </w:rPr>
        <w:t xml:space="preserve">La Porte Brunet </w:t>
      </w:r>
      <w:r>
        <w:rPr>
          <w:rFonts w:ascii="Arial" w:hAnsi="Arial" w:cs="Arial"/>
          <w:b/>
          <w:bCs/>
          <w:color w:val="000000"/>
          <w:sz w:val="18"/>
          <w:szCs w:val="18"/>
        </w:rPr>
        <w:t xml:space="preserve">    </w:t>
      </w:r>
      <w:r w:rsidRPr="00065180">
        <w:rPr>
          <w:rFonts w:ascii="Arial" w:hAnsi="Arial" w:cs="Arial"/>
          <w:b/>
          <w:color w:val="000000"/>
          <w:sz w:val="18"/>
          <w:szCs w:val="18"/>
        </w:rPr>
        <w:t xml:space="preserve">5 </w:t>
      </w:r>
      <w:r w:rsidRPr="00065180">
        <w:rPr>
          <w:rFonts w:ascii="Arial" w:hAnsi="Arial" w:cs="Arial"/>
          <w:color w:val="000000"/>
          <w:sz w:val="18"/>
          <w:szCs w:val="18"/>
        </w:rPr>
        <w:t xml:space="preserve">- </w:t>
      </w:r>
      <w:r w:rsidRPr="00065180">
        <w:rPr>
          <w:rFonts w:ascii="Arial" w:hAnsi="Arial" w:cs="Arial"/>
          <w:b/>
          <w:bCs/>
          <w:color w:val="000000"/>
          <w:sz w:val="18"/>
          <w:szCs w:val="18"/>
        </w:rPr>
        <w:t xml:space="preserve">La Tour du Guetteur </w:t>
      </w:r>
      <w:r>
        <w:rPr>
          <w:rFonts w:ascii="Arial" w:hAnsi="Arial" w:cs="Arial"/>
          <w:b/>
          <w:bCs/>
          <w:color w:val="000000"/>
          <w:sz w:val="18"/>
          <w:szCs w:val="18"/>
        </w:rPr>
        <w:t xml:space="preserve">   </w:t>
      </w:r>
      <w:r w:rsidRPr="00065180">
        <w:rPr>
          <w:rFonts w:ascii="Arial" w:hAnsi="Arial" w:cs="Arial"/>
          <w:b/>
          <w:color w:val="000000"/>
          <w:sz w:val="18"/>
          <w:szCs w:val="18"/>
        </w:rPr>
        <w:t>6</w:t>
      </w:r>
      <w:r w:rsidRPr="00065180">
        <w:rPr>
          <w:rFonts w:ascii="Arial" w:hAnsi="Arial" w:cs="Arial"/>
          <w:color w:val="000000"/>
          <w:sz w:val="18"/>
          <w:szCs w:val="18"/>
        </w:rPr>
        <w:t xml:space="preserve"> - </w:t>
      </w:r>
      <w:r w:rsidRPr="00065180">
        <w:rPr>
          <w:rFonts w:ascii="Arial" w:hAnsi="Arial" w:cs="Arial"/>
          <w:b/>
          <w:bCs/>
          <w:color w:val="000000"/>
          <w:sz w:val="18"/>
          <w:szCs w:val="18"/>
        </w:rPr>
        <w:t xml:space="preserve">La Porte </w:t>
      </w:r>
      <w:proofErr w:type="spellStart"/>
      <w:r w:rsidRPr="00065180">
        <w:rPr>
          <w:rFonts w:ascii="Arial" w:hAnsi="Arial" w:cs="Arial"/>
          <w:b/>
          <w:bCs/>
          <w:color w:val="000000"/>
          <w:sz w:val="18"/>
          <w:szCs w:val="18"/>
        </w:rPr>
        <w:t>Bouqueyre</w:t>
      </w:r>
      <w:proofErr w:type="spellEnd"/>
      <w:r w:rsidRPr="00065180">
        <w:rPr>
          <w:rFonts w:ascii="Arial" w:hAnsi="Arial" w:cs="Arial"/>
          <w:b/>
          <w:bCs/>
          <w:color w:val="000000"/>
          <w:sz w:val="18"/>
          <w:szCs w:val="18"/>
        </w:rPr>
        <w:t xml:space="preserve"> </w:t>
      </w:r>
      <w:r>
        <w:rPr>
          <w:rFonts w:ascii="Arial" w:hAnsi="Arial" w:cs="Arial"/>
          <w:b/>
          <w:bCs/>
          <w:color w:val="000000"/>
          <w:sz w:val="18"/>
          <w:szCs w:val="18"/>
        </w:rPr>
        <w:t xml:space="preserve"> </w:t>
      </w:r>
      <w:r w:rsidRPr="00065180">
        <w:rPr>
          <w:rFonts w:ascii="Arial" w:hAnsi="Arial" w:cs="Arial"/>
          <w:b/>
          <w:bCs/>
          <w:color w:val="000000"/>
          <w:sz w:val="18"/>
          <w:szCs w:val="18"/>
        </w:rPr>
        <w:t xml:space="preserve"> </w:t>
      </w:r>
      <w:r w:rsidRPr="00065180">
        <w:rPr>
          <w:rFonts w:ascii="Arial" w:hAnsi="Arial" w:cs="Arial"/>
          <w:b/>
          <w:color w:val="000000"/>
          <w:sz w:val="18"/>
          <w:szCs w:val="18"/>
        </w:rPr>
        <w:t>7</w:t>
      </w:r>
      <w:r w:rsidRPr="00065180">
        <w:rPr>
          <w:rFonts w:ascii="Arial" w:hAnsi="Arial" w:cs="Arial"/>
          <w:color w:val="000000"/>
          <w:sz w:val="18"/>
          <w:szCs w:val="18"/>
        </w:rPr>
        <w:t xml:space="preserve"> - </w:t>
      </w:r>
      <w:r w:rsidRPr="00065180">
        <w:rPr>
          <w:rFonts w:ascii="Arial" w:hAnsi="Arial" w:cs="Arial"/>
          <w:b/>
          <w:bCs/>
          <w:color w:val="000000"/>
          <w:sz w:val="18"/>
          <w:szCs w:val="18"/>
        </w:rPr>
        <w:t>La Porte Sainte-Marie</w:t>
      </w:r>
      <w:r>
        <w:rPr>
          <w:rFonts w:ascii="Arial" w:hAnsi="Arial" w:cs="Arial"/>
          <w:b/>
          <w:bCs/>
          <w:color w:val="000000"/>
          <w:sz w:val="18"/>
          <w:szCs w:val="18"/>
        </w:rPr>
        <w:t xml:space="preserve">  </w:t>
      </w:r>
      <w:r w:rsidRPr="00065180">
        <w:rPr>
          <w:rFonts w:ascii="Arial" w:hAnsi="Arial" w:cs="Arial"/>
          <w:b/>
          <w:bCs/>
          <w:color w:val="000000"/>
          <w:sz w:val="18"/>
          <w:szCs w:val="18"/>
        </w:rPr>
        <w:t xml:space="preserve"> </w:t>
      </w:r>
      <w:r w:rsidRPr="00065180">
        <w:rPr>
          <w:rFonts w:ascii="Arial" w:hAnsi="Arial" w:cs="Arial"/>
          <w:b/>
          <w:color w:val="000000"/>
          <w:sz w:val="18"/>
          <w:szCs w:val="18"/>
        </w:rPr>
        <w:t>8</w:t>
      </w:r>
      <w:r w:rsidRPr="00065180">
        <w:rPr>
          <w:rFonts w:ascii="Arial" w:hAnsi="Arial" w:cs="Arial"/>
          <w:color w:val="000000"/>
          <w:sz w:val="18"/>
          <w:szCs w:val="18"/>
        </w:rPr>
        <w:t xml:space="preserve"> - </w:t>
      </w:r>
      <w:r w:rsidRPr="00065180">
        <w:rPr>
          <w:rFonts w:ascii="Arial" w:hAnsi="Arial" w:cs="Arial"/>
          <w:b/>
          <w:bCs/>
          <w:color w:val="000000"/>
          <w:sz w:val="18"/>
          <w:szCs w:val="18"/>
        </w:rPr>
        <w:t xml:space="preserve">La Porte Saint-Martin </w:t>
      </w:r>
      <w:r>
        <w:rPr>
          <w:rFonts w:ascii="Arial" w:hAnsi="Arial" w:cs="Arial"/>
          <w:b/>
          <w:bCs/>
          <w:color w:val="000000"/>
          <w:sz w:val="18"/>
          <w:szCs w:val="18"/>
        </w:rPr>
        <w:t xml:space="preserve">  </w:t>
      </w:r>
      <w:r w:rsidRPr="00065180">
        <w:rPr>
          <w:rFonts w:ascii="Arial" w:hAnsi="Arial" w:cs="Arial"/>
          <w:b/>
          <w:color w:val="000000"/>
          <w:sz w:val="18"/>
          <w:szCs w:val="18"/>
        </w:rPr>
        <w:t>9</w:t>
      </w:r>
      <w:r w:rsidRPr="00065180">
        <w:rPr>
          <w:rFonts w:ascii="Arial" w:hAnsi="Arial" w:cs="Arial"/>
          <w:color w:val="000000"/>
          <w:sz w:val="18"/>
          <w:szCs w:val="18"/>
        </w:rPr>
        <w:t xml:space="preserve"> - </w:t>
      </w:r>
      <w:r w:rsidRPr="00065180">
        <w:rPr>
          <w:rFonts w:ascii="Arial" w:hAnsi="Arial" w:cs="Arial"/>
          <w:b/>
          <w:bCs/>
          <w:color w:val="000000"/>
          <w:sz w:val="18"/>
          <w:szCs w:val="18"/>
        </w:rPr>
        <w:t xml:space="preserve">La Porte des Chanoines </w:t>
      </w:r>
    </w:p>
    <w:p w:rsidR="006D4ADB" w:rsidRDefault="006D4ADB" w:rsidP="00065180">
      <w:pPr>
        <w:rPr>
          <w:rFonts w:ascii="Arial" w:hAnsi="Arial" w:cs="Arial"/>
          <w:b/>
          <w:bCs/>
          <w:color w:val="000000"/>
          <w:sz w:val="18"/>
          <w:szCs w:val="18"/>
        </w:rPr>
      </w:pPr>
    </w:p>
    <w:p w:rsidR="005B70B5" w:rsidRPr="002D3F56" w:rsidRDefault="00065180" w:rsidP="002D3F56">
      <w:pPr>
        <w:jc w:val="both"/>
        <w:rPr>
          <w:sz w:val="24"/>
          <w:szCs w:val="24"/>
        </w:rPr>
      </w:pPr>
      <w:r w:rsidRPr="002D3F56">
        <w:rPr>
          <w:sz w:val="24"/>
          <w:szCs w:val="24"/>
        </w:rPr>
        <w:t xml:space="preserve">Le </w:t>
      </w:r>
      <w:proofErr w:type="spellStart"/>
      <w:r w:rsidRPr="002D3F56">
        <w:rPr>
          <w:sz w:val="24"/>
          <w:szCs w:val="24"/>
        </w:rPr>
        <w:t>Campfourtet</w:t>
      </w:r>
      <w:proofErr w:type="spellEnd"/>
      <w:r w:rsidRPr="002D3F56">
        <w:rPr>
          <w:sz w:val="24"/>
          <w:szCs w:val="24"/>
        </w:rPr>
        <w:t xml:space="preserve"> (marqué d’un « X » sur la carte) était situé aux abords des remparts, entre la Porte Bourgeoise (N°3) et la Porte des Chanoines (N°9), accolé au Nord-Est par le couvent des Dominicains construit au XIIIème siècle. Les remparts furent rasés au XIXème siècle et le couvent, quant à lui, fut plusieurs fois pillé puis détruit peu de temps avant le début de la guerre de Cent Ans (XIVème siècle). De nos jours, il n’en reste que la façade Nord, jouxtant le vignoble des « Grande Murailles », nous laissant deviner l’importance qu’avait pu recouvrir cette bâtisse de style gothique.</w:t>
      </w:r>
    </w:p>
    <w:p w:rsidR="006D4ADB" w:rsidRDefault="006D4ADB" w:rsidP="006D4ADB">
      <w:pPr>
        <w:pStyle w:val="Paragraphedeliste"/>
        <w:numPr>
          <w:ilvl w:val="0"/>
          <w:numId w:val="1"/>
        </w:numPr>
      </w:pPr>
      <w:r w:rsidRPr="006D4ADB">
        <w:rPr>
          <w:sz w:val="20"/>
          <w:szCs w:val="20"/>
        </w:rPr>
        <w:t xml:space="preserve">COCKS Charles, </w:t>
      </w:r>
      <w:r w:rsidRPr="006D4ADB">
        <w:rPr>
          <w:i/>
          <w:iCs/>
          <w:sz w:val="20"/>
          <w:szCs w:val="20"/>
        </w:rPr>
        <w:t>Bordeaux et ses vins</w:t>
      </w:r>
      <w:r w:rsidRPr="006D4ADB">
        <w:rPr>
          <w:sz w:val="20"/>
          <w:szCs w:val="20"/>
        </w:rPr>
        <w:t>, Féret fils, 1850.</w:t>
      </w:r>
    </w:p>
    <w:p w:rsidR="006D4ADB" w:rsidRDefault="006D4ADB" w:rsidP="006D4ADB">
      <w:pPr>
        <w:pStyle w:val="Paragraphedeliste"/>
        <w:numPr>
          <w:ilvl w:val="0"/>
          <w:numId w:val="1"/>
        </w:numPr>
        <w:rPr>
          <w:sz w:val="20"/>
          <w:szCs w:val="20"/>
        </w:rPr>
      </w:pPr>
      <w:r w:rsidRPr="006D4ADB">
        <w:rPr>
          <w:sz w:val="20"/>
          <w:szCs w:val="20"/>
        </w:rPr>
        <w:t xml:space="preserve">  </w:t>
      </w:r>
      <w:hyperlink r:id="rId8" w:history="1">
        <w:r w:rsidRPr="00EB5DE0">
          <w:rPr>
            <w:rStyle w:val="Lienhypertexte"/>
            <w:sz w:val="20"/>
            <w:szCs w:val="20"/>
          </w:rPr>
          <w:t>http://www.vignobledebordeaux.fr/tourism_st_em.php</w:t>
        </w:r>
      </w:hyperlink>
    </w:p>
    <w:p w:rsidR="006D4ADB" w:rsidRPr="002D3F56" w:rsidRDefault="006D4ADB" w:rsidP="00136F45">
      <w:pPr>
        <w:pStyle w:val="Default"/>
        <w:ind w:left="30"/>
        <w:jc w:val="both"/>
      </w:pPr>
      <w:r w:rsidRPr="002D3F56">
        <w:lastRenderedPageBreak/>
        <w:t xml:space="preserve">D’après les travaux d’Henri </w:t>
      </w:r>
      <w:proofErr w:type="spellStart"/>
      <w:r w:rsidRPr="002D3F56">
        <w:t>Enjalbert</w:t>
      </w:r>
      <w:proofErr w:type="spellEnd"/>
      <w:r w:rsidRPr="002D3F56">
        <w:t xml:space="preserve"> sur « </w:t>
      </w:r>
      <w:r w:rsidRPr="002D3F56">
        <w:rPr>
          <w:i/>
          <w:iCs/>
        </w:rPr>
        <w:t xml:space="preserve">les Grands Vins de Saint Emilion Pomerol et Fronsac </w:t>
      </w:r>
      <w:r w:rsidRPr="002D3F56">
        <w:t xml:space="preserve">», parus en 1983, le </w:t>
      </w:r>
      <w:proofErr w:type="spellStart"/>
      <w:r w:rsidRPr="002D3F56">
        <w:t>Campfourtet</w:t>
      </w:r>
      <w:proofErr w:type="spellEnd"/>
      <w:r w:rsidRPr="002D3F56">
        <w:t xml:space="preserve"> avait déjà cessé d’être un fort militaire dès le XVème siècle pour laisser la place à une multitude de petites métairies. Sachant qu’à l’emplacement du camp l’extraction du calcaire est allée de pair avec la domination anglaise dès le XIIème siècle et l’agrandissement du village, on peut se demander si les carrières ont pu servir de lieux d’abris lors des différentes invasions de la cité ? Des religieux catholiques ou protestants se sont-ils cachés dans ces lieux ? Les clercs catholiques ont-ils mis en sureté les reliques de Saint-Emilion dans les caves de l’actuel Clos Fourtet alors que les protestants étaient en train de dévaster les églises de la ville en 1563 ? Rien ne permet de le prouver avec certitude. Cependant, cette théorie semble plausible du fait de la proximité immédiate des carrières du </w:t>
      </w:r>
      <w:proofErr w:type="spellStart"/>
      <w:r w:rsidRPr="002D3F56">
        <w:t>Campfourtet</w:t>
      </w:r>
      <w:proofErr w:type="spellEnd"/>
      <w:r w:rsidRPr="002D3F56">
        <w:t xml:space="preserve"> avec les principaux édifices religieux du village. </w:t>
      </w:r>
    </w:p>
    <w:p w:rsidR="006D4ADB" w:rsidRDefault="006D4ADB" w:rsidP="006D4ADB">
      <w:pPr>
        <w:pStyle w:val="Default"/>
        <w:ind w:left="390"/>
        <w:rPr>
          <w:sz w:val="23"/>
          <w:szCs w:val="23"/>
        </w:rPr>
      </w:pPr>
    </w:p>
    <w:p w:rsidR="006D4ADB" w:rsidRPr="00136F45" w:rsidRDefault="006D4ADB" w:rsidP="006D4ADB">
      <w:pPr>
        <w:pStyle w:val="Default"/>
        <w:ind w:left="390"/>
        <w:rPr>
          <w:b/>
          <w:bCs/>
          <w:sz w:val="32"/>
          <w:szCs w:val="32"/>
          <w:u w:val="single"/>
        </w:rPr>
      </w:pPr>
      <w:r w:rsidRPr="00136F45">
        <w:rPr>
          <w:b/>
          <w:bCs/>
          <w:sz w:val="32"/>
          <w:szCs w:val="32"/>
          <w:u w:val="single"/>
        </w:rPr>
        <w:t xml:space="preserve">II – La mise en place du vignoble et l’émergence d’un Grand Cru : du « </w:t>
      </w:r>
      <w:proofErr w:type="spellStart"/>
      <w:r w:rsidRPr="00136F45">
        <w:rPr>
          <w:b/>
          <w:bCs/>
          <w:i/>
          <w:iCs/>
          <w:sz w:val="32"/>
          <w:szCs w:val="32"/>
          <w:u w:val="single"/>
        </w:rPr>
        <w:t>Campfourtet</w:t>
      </w:r>
      <w:proofErr w:type="spellEnd"/>
      <w:r w:rsidRPr="00136F45">
        <w:rPr>
          <w:b/>
          <w:bCs/>
          <w:i/>
          <w:iCs/>
          <w:sz w:val="32"/>
          <w:szCs w:val="32"/>
          <w:u w:val="single"/>
        </w:rPr>
        <w:t xml:space="preserve"> </w:t>
      </w:r>
      <w:r w:rsidRPr="00136F45">
        <w:rPr>
          <w:b/>
          <w:bCs/>
          <w:sz w:val="32"/>
          <w:szCs w:val="32"/>
          <w:u w:val="single"/>
        </w:rPr>
        <w:t xml:space="preserve">» vers le « </w:t>
      </w:r>
      <w:r w:rsidRPr="00136F45">
        <w:rPr>
          <w:b/>
          <w:bCs/>
          <w:i/>
          <w:iCs/>
          <w:sz w:val="32"/>
          <w:szCs w:val="32"/>
          <w:u w:val="single"/>
        </w:rPr>
        <w:t xml:space="preserve">Clos Fourtet </w:t>
      </w:r>
      <w:r w:rsidRPr="00136F45">
        <w:rPr>
          <w:b/>
          <w:bCs/>
          <w:sz w:val="32"/>
          <w:szCs w:val="32"/>
          <w:u w:val="single"/>
        </w:rPr>
        <w:t xml:space="preserve">» </w:t>
      </w:r>
    </w:p>
    <w:p w:rsidR="00136F45" w:rsidRDefault="00136F45" w:rsidP="006D4ADB">
      <w:pPr>
        <w:pStyle w:val="Default"/>
        <w:ind w:left="390"/>
        <w:rPr>
          <w:sz w:val="32"/>
          <w:szCs w:val="32"/>
        </w:rPr>
      </w:pPr>
    </w:p>
    <w:p w:rsidR="00136F45" w:rsidRPr="002D3F56" w:rsidRDefault="006D4ADB" w:rsidP="00136F45">
      <w:pPr>
        <w:pStyle w:val="Default"/>
        <w:jc w:val="both"/>
      </w:pPr>
      <w:r w:rsidRPr="002D3F56">
        <w:t>A partir du XVIIème siècle, le calme revient et « les parcelles multiples, d’appartenances diverses, sont progressivement rassemblées pour aboutir à une propriété d’un seul tenant et de bonne dimension (18 hectares)</w:t>
      </w:r>
      <w:r w:rsidRPr="002D3F56">
        <w:t xml:space="preserve"> 3</w:t>
      </w:r>
      <w:r w:rsidRPr="002D3F56">
        <w:t xml:space="preserve">. » L’unité de la propriété est mentionnée dès 1679-1680, lorsque Jean </w:t>
      </w:r>
      <w:proofErr w:type="spellStart"/>
      <w:r w:rsidRPr="002D3F56">
        <w:t>Rulleau</w:t>
      </w:r>
      <w:proofErr w:type="spellEnd"/>
      <w:r w:rsidRPr="002D3F56">
        <w:t xml:space="preserve">, seigneur de « </w:t>
      </w:r>
      <w:proofErr w:type="spellStart"/>
      <w:r w:rsidRPr="002D3F56">
        <w:rPr>
          <w:i/>
          <w:iCs/>
        </w:rPr>
        <w:t>Campfort</w:t>
      </w:r>
      <w:proofErr w:type="spellEnd"/>
      <w:r w:rsidRPr="002D3F56">
        <w:rPr>
          <w:i/>
          <w:iCs/>
        </w:rPr>
        <w:t xml:space="preserve"> </w:t>
      </w:r>
      <w:r w:rsidRPr="002D3F56">
        <w:t xml:space="preserve">» (futur Clos Fourtet), siège comme Jurat à Saint-Emilion. A cette époque, on pratique la polyculture vivrière sur la propriété, avec parfois quelques plantations de ceps de vigne, en blanc comme en rouge, sans véritable souhait d’unité de culture sur l’exploitation. Sa descendance, Elie </w:t>
      </w:r>
      <w:proofErr w:type="spellStart"/>
      <w:r w:rsidRPr="002D3F56">
        <w:t>Rulleau</w:t>
      </w:r>
      <w:proofErr w:type="spellEnd"/>
      <w:r w:rsidRPr="002D3F56">
        <w:t xml:space="preserve">, transforme la propriété en vignoble. Il lui donne son aspect actuel à partir de 1784, à la suite d’un XVIIIème siècle chahuté, où les histoires de successions avaient séparé en deux entités distinctes le </w:t>
      </w:r>
      <w:proofErr w:type="spellStart"/>
      <w:r w:rsidRPr="002D3F56">
        <w:t>Campfourtet</w:t>
      </w:r>
      <w:proofErr w:type="spellEnd"/>
      <w:r w:rsidRPr="002D3F56">
        <w:t xml:space="preserve"> pendant plus de 50 ans. Elie s’inspire alors des « seigneurs du vin » (Lafitte, Margaux, Latour et surtout Haut-Brion) qui amorcent un vrai tournant révolutionnaire dans l’art de la fabrication des vins : mise en place des grandes exploitations viticoles, sélection des cépages cultivés, arrêt des assemblages hasardeux entre cépages de rouges et de blancs. En faisant extraire en grande quantité des blocs de calcaire de son sous-sol, Elie a bénéficié d’importants revenus qui lui ont permis de faire passer sa propriété à la monoculture spéculative, fondée sur la production du vin</w:t>
      </w:r>
      <w:r w:rsidRPr="002D3F56">
        <w:t xml:space="preserve"> 4</w:t>
      </w:r>
      <w:r w:rsidRPr="002D3F56">
        <w:t>. En l’espace d’une dizaine d’années, il fait construire la maison de style néo-classique, aménage un chai et fait ériger un mur pour protéger sa récolte des pilleurs. En effet, sous l’Ancien Régime, les vagabonds, souvent des personnes exclues du foyer familial par manque de travail ou par déshonneur avant le mariage pour les dames, n’avaient pas le droit de rentrer dans l’enceinte des villes car ils ne</w:t>
      </w:r>
      <w:r w:rsidR="00136F45" w:rsidRPr="002D3F56">
        <w:t xml:space="preserve"> </w:t>
      </w:r>
      <w:r w:rsidRPr="002D3F56">
        <w:t xml:space="preserve"> </w:t>
      </w:r>
      <w:r w:rsidR="00136F45" w:rsidRPr="002D3F56">
        <w:t xml:space="preserve">faisaient pas partie des gens du bourg (les « bourgeois »). A Saint-Emilion, ces mendiants vivaient dans des caves creusées aux abords des remparts et se nourrissaient des cultures produites sur les différentes exploitations. Avec la reconnaissance du cadastre et de la propriété pendant la Révolution et sous l’Empire, les viticulteurs ont obtenu le droit de protéger leur production, d’où l’érection de ce mur autour du vignoble. A partir de 1841, le </w:t>
      </w:r>
      <w:proofErr w:type="spellStart"/>
      <w:r w:rsidR="00136F45" w:rsidRPr="002D3F56">
        <w:t>Campfourtet</w:t>
      </w:r>
      <w:proofErr w:type="spellEnd"/>
      <w:r w:rsidR="00136F45" w:rsidRPr="002D3F56">
        <w:t xml:space="preserve"> est reconnu comme étant l’un des meilleurs crus de Saint-Emilion : un terroir exceptionnel, des capacités de vinification et d’élevage du vin dans les caves, ainsi que des vieux ceps de vignes ne sont pas étrangers à cette reconnaissance. </w:t>
      </w:r>
    </w:p>
    <w:p w:rsidR="00136F45" w:rsidRPr="002D3F56" w:rsidRDefault="00136F45" w:rsidP="00136F45">
      <w:pPr>
        <w:pStyle w:val="Default"/>
        <w:jc w:val="both"/>
      </w:pPr>
    </w:p>
    <w:p w:rsidR="006D4ADB" w:rsidRPr="002D3F56" w:rsidRDefault="00136F45" w:rsidP="00136F45">
      <w:pPr>
        <w:pStyle w:val="Default"/>
        <w:jc w:val="both"/>
      </w:pPr>
      <w:r w:rsidRPr="002D3F56">
        <w:t xml:space="preserve">En 1867, sous </w:t>
      </w:r>
      <w:proofErr w:type="gramStart"/>
      <w:r w:rsidRPr="002D3F56">
        <w:t xml:space="preserve">le </w:t>
      </w:r>
      <w:proofErr w:type="spellStart"/>
      <w:r w:rsidRPr="002D3F56">
        <w:t>IInd</w:t>
      </w:r>
      <w:proofErr w:type="spellEnd"/>
      <w:proofErr w:type="gramEnd"/>
      <w:r w:rsidRPr="002D3F56">
        <w:t xml:space="preserve"> Empire, la propriété est récupérée par Emile </w:t>
      </w:r>
      <w:proofErr w:type="spellStart"/>
      <w:r w:rsidRPr="002D3F56">
        <w:t>Leperche</w:t>
      </w:r>
      <w:proofErr w:type="spellEnd"/>
      <w:r w:rsidRPr="002D3F56">
        <w:t xml:space="preserve"> (1810-1896) qui avait épousé Claudine </w:t>
      </w:r>
      <w:proofErr w:type="spellStart"/>
      <w:r w:rsidRPr="002D3F56">
        <w:t>Rulleau</w:t>
      </w:r>
      <w:proofErr w:type="spellEnd"/>
      <w:r w:rsidRPr="002D3F56">
        <w:t xml:space="preserve"> (décédée en 1878). Dès cette année-là, le </w:t>
      </w:r>
      <w:proofErr w:type="spellStart"/>
      <w:r w:rsidRPr="002D3F56">
        <w:t>Campfourtet</w:t>
      </w:r>
      <w:proofErr w:type="spellEnd"/>
      <w:r w:rsidRPr="002D3F56">
        <w:t xml:space="preserve">, devenu désormais « Clos Fourtet », participe à l’exposition universelle de Paris et remporte sa première médaille d’or. Jusqu’en 1900 et le rachat de la propriété par Raymond Martin </w:t>
      </w:r>
      <w:proofErr w:type="spellStart"/>
      <w:r w:rsidRPr="002D3F56">
        <w:t>Cahuzac</w:t>
      </w:r>
      <w:proofErr w:type="spellEnd"/>
      <w:r w:rsidRPr="002D3F56">
        <w:t xml:space="preserve">, Clos Fourtet remporte bon nombre de distinctions, comme une sorte de revanche sur le classement des Grands Crus du Bordelais de 1855 où Saint-Emilion n’était pas à l’honneur. Le domaine est racheté en 1919 par Fernand </w:t>
      </w:r>
      <w:proofErr w:type="spellStart"/>
      <w:r w:rsidRPr="002D3F56">
        <w:t>Ginestet</w:t>
      </w:r>
      <w:proofErr w:type="spellEnd"/>
      <w:r w:rsidRPr="002D3F56">
        <w:t>. C’est à partir de cette acquisition que les étiquettes du Clos Fourtet ont pris leur aspect actuel, avec la mise en évidence de trois médailles d’or, lors de la mise en bouteille des barriques de 1</w:t>
      </w:r>
      <w:r w:rsidRPr="002D3F56">
        <w:t>918</w:t>
      </w:r>
      <w:r w:rsidR="00ED39F1" w:rsidRPr="002D3F56">
        <w:t xml:space="preserve"> (voir les détails dans l’annexe 1)</w:t>
      </w:r>
      <w:r w:rsidRPr="002D3F56">
        <w:t>.</w:t>
      </w:r>
    </w:p>
    <w:p w:rsidR="00136F45" w:rsidRPr="002D3F56" w:rsidRDefault="00136F45" w:rsidP="00136F45">
      <w:pPr>
        <w:pStyle w:val="Default"/>
      </w:pPr>
    </w:p>
    <w:p w:rsidR="002D3F56" w:rsidRDefault="002D3F56" w:rsidP="00136F45">
      <w:pPr>
        <w:pStyle w:val="Default"/>
      </w:pPr>
    </w:p>
    <w:p w:rsidR="002D3F56" w:rsidRPr="00136F45" w:rsidRDefault="002D3F56" w:rsidP="002D3F56">
      <w:pPr>
        <w:pStyle w:val="Default"/>
        <w:rPr>
          <w:sz w:val="16"/>
          <w:szCs w:val="16"/>
        </w:rPr>
      </w:pPr>
      <w:r w:rsidRPr="00136F45">
        <w:rPr>
          <w:sz w:val="16"/>
          <w:szCs w:val="16"/>
        </w:rPr>
        <w:t xml:space="preserve">(3)  ENJALBERT Henri, </w:t>
      </w:r>
      <w:r w:rsidRPr="00136F45">
        <w:rPr>
          <w:i/>
          <w:iCs/>
          <w:sz w:val="16"/>
          <w:szCs w:val="16"/>
        </w:rPr>
        <w:t xml:space="preserve">Les Grands Vins de Saint Emilion </w:t>
      </w:r>
      <w:proofErr w:type="spellStart"/>
      <w:r w:rsidRPr="00136F45">
        <w:rPr>
          <w:i/>
          <w:iCs/>
          <w:sz w:val="16"/>
          <w:szCs w:val="16"/>
        </w:rPr>
        <w:t>Pomérol</w:t>
      </w:r>
      <w:proofErr w:type="spellEnd"/>
      <w:r w:rsidRPr="00136F45">
        <w:rPr>
          <w:i/>
          <w:iCs/>
          <w:sz w:val="16"/>
          <w:szCs w:val="16"/>
        </w:rPr>
        <w:t xml:space="preserve"> et Fronsac</w:t>
      </w:r>
      <w:r w:rsidRPr="00136F45">
        <w:rPr>
          <w:sz w:val="16"/>
          <w:szCs w:val="16"/>
        </w:rPr>
        <w:t xml:space="preserve">, éditions Bardi, 1983. </w:t>
      </w:r>
    </w:p>
    <w:p w:rsidR="002D3F56" w:rsidRPr="00136F45" w:rsidRDefault="002D3F56" w:rsidP="002D3F56">
      <w:pPr>
        <w:rPr>
          <w:sz w:val="20"/>
          <w:szCs w:val="20"/>
        </w:rPr>
      </w:pPr>
      <w:r w:rsidRPr="00136F45">
        <w:rPr>
          <w:sz w:val="16"/>
          <w:szCs w:val="16"/>
        </w:rPr>
        <w:t>(</w:t>
      </w:r>
      <w:proofErr w:type="gramStart"/>
      <w:r w:rsidRPr="00136F45">
        <w:rPr>
          <w:sz w:val="16"/>
          <w:szCs w:val="16"/>
        </w:rPr>
        <w:t>4 )</w:t>
      </w:r>
      <w:proofErr w:type="gramEnd"/>
      <w:r w:rsidRPr="00136F45">
        <w:rPr>
          <w:sz w:val="16"/>
          <w:szCs w:val="16"/>
        </w:rPr>
        <w:t xml:space="preserve"> ENJALBERT Henri, </w:t>
      </w:r>
      <w:r w:rsidRPr="00136F45">
        <w:rPr>
          <w:i/>
          <w:iCs/>
          <w:sz w:val="16"/>
          <w:szCs w:val="16"/>
        </w:rPr>
        <w:t xml:space="preserve">Les Grands Vins de Saint Emilion </w:t>
      </w:r>
      <w:proofErr w:type="spellStart"/>
      <w:r w:rsidRPr="00136F45">
        <w:rPr>
          <w:i/>
          <w:iCs/>
          <w:sz w:val="16"/>
          <w:szCs w:val="16"/>
        </w:rPr>
        <w:t>Pomérol</w:t>
      </w:r>
      <w:proofErr w:type="spellEnd"/>
      <w:r w:rsidRPr="00136F45">
        <w:rPr>
          <w:i/>
          <w:iCs/>
          <w:sz w:val="16"/>
          <w:szCs w:val="16"/>
        </w:rPr>
        <w:t xml:space="preserve"> et Fronsac</w:t>
      </w:r>
      <w:r w:rsidRPr="00136F45">
        <w:rPr>
          <w:sz w:val="16"/>
          <w:szCs w:val="16"/>
        </w:rPr>
        <w:t>, éditions Bardi, 1983</w:t>
      </w:r>
      <w:r w:rsidRPr="00136F45">
        <w:rPr>
          <w:sz w:val="20"/>
          <w:szCs w:val="20"/>
        </w:rPr>
        <w:t xml:space="preserve">. </w:t>
      </w:r>
      <w:r w:rsidRPr="00136F45">
        <w:rPr>
          <w:sz w:val="23"/>
          <w:szCs w:val="23"/>
        </w:rPr>
        <w:t xml:space="preserve"> </w:t>
      </w:r>
      <w:r w:rsidRPr="00136F45">
        <w:rPr>
          <w:sz w:val="20"/>
          <w:szCs w:val="20"/>
        </w:rPr>
        <w:t xml:space="preserve">    </w:t>
      </w:r>
    </w:p>
    <w:p w:rsidR="002D3F56" w:rsidRDefault="002D3F56" w:rsidP="00136F45">
      <w:pPr>
        <w:pStyle w:val="Default"/>
      </w:pPr>
    </w:p>
    <w:p w:rsidR="002D3F56" w:rsidRDefault="002D3F56" w:rsidP="002D3F56">
      <w:pPr>
        <w:pStyle w:val="Default"/>
      </w:pPr>
      <w:r w:rsidRPr="002D3F56">
        <w:t xml:space="preserve">Après la guerre, en 1949, Fernand </w:t>
      </w:r>
      <w:proofErr w:type="spellStart"/>
      <w:r w:rsidRPr="002D3F56">
        <w:t>Ginestet</w:t>
      </w:r>
      <w:proofErr w:type="spellEnd"/>
      <w:r w:rsidRPr="002D3F56">
        <w:t xml:space="preserve"> cède le Clos Fourtet à la famille </w:t>
      </w:r>
      <w:proofErr w:type="spellStart"/>
      <w:r w:rsidRPr="002D3F56">
        <w:t>Lurton</w:t>
      </w:r>
      <w:proofErr w:type="spellEnd"/>
      <w:r w:rsidRPr="002D3F56">
        <w:t xml:space="preserve"> en échange de 40 %</w:t>
      </w:r>
    </w:p>
    <w:p w:rsidR="00136F45" w:rsidRPr="002D3F56" w:rsidRDefault="00136F45" w:rsidP="00136F45">
      <w:pPr>
        <w:pStyle w:val="Default"/>
      </w:pPr>
      <w:proofErr w:type="gramStart"/>
      <w:r w:rsidRPr="002D3F56">
        <w:t>des</w:t>
      </w:r>
      <w:proofErr w:type="gramEnd"/>
      <w:r w:rsidRPr="002D3F56">
        <w:t xml:space="preserve"> parts du château Margaux (une bonne affaire à cette époque). C’est sous les </w:t>
      </w:r>
      <w:proofErr w:type="spellStart"/>
      <w:r w:rsidRPr="002D3F56">
        <w:t>Lurton</w:t>
      </w:r>
      <w:proofErr w:type="spellEnd"/>
      <w:r w:rsidRPr="002D3F56">
        <w:t xml:space="preserve"> que le Clos Fourtet est classé officiellement comme Premier Grand Cru de Saint-Emilion en 1954. En 1973, André et Lucien </w:t>
      </w:r>
      <w:proofErr w:type="spellStart"/>
      <w:r w:rsidRPr="002D3F56">
        <w:t>Lurton</w:t>
      </w:r>
      <w:proofErr w:type="spellEnd"/>
      <w:r w:rsidRPr="002D3F56">
        <w:t xml:space="preserve"> succèdent à leur père et donnent un « coup de jeunesse » au vignoble en replantant les très vieilles parcelles de vignes. </w:t>
      </w:r>
    </w:p>
    <w:p w:rsidR="00136F45" w:rsidRDefault="00136F45" w:rsidP="00136F45">
      <w:pPr>
        <w:pStyle w:val="Default"/>
        <w:rPr>
          <w:sz w:val="23"/>
          <w:szCs w:val="23"/>
        </w:rPr>
      </w:pPr>
    </w:p>
    <w:p w:rsidR="00136F45" w:rsidRPr="002D3F56" w:rsidRDefault="00136F45" w:rsidP="00136F45">
      <w:pPr>
        <w:pStyle w:val="Default"/>
      </w:pPr>
      <w:r w:rsidRPr="002D3F56">
        <w:t xml:space="preserve">Ils créent en 1983 un second vin, le « Domaine de </w:t>
      </w:r>
      <w:proofErr w:type="spellStart"/>
      <w:r w:rsidRPr="002D3F56">
        <w:t>Martialis</w:t>
      </w:r>
      <w:proofErr w:type="spellEnd"/>
      <w:r w:rsidRPr="002D3F56">
        <w:t xml:space="preserve"> », issus des cépages les plus jeunes afin de sélectionner et de garder l’excellence que peut procurer ce terroir uniquement pour le premier vin, le « Clos Fourtet ». </w:t>
      </w:r>
    </w:p>
    <w:p w:rsidR="00136F45" w:rsidRPr="002D3F56" w:rsidRDefault="00136F45" w:rsidP="00136F45">
      <w:pPr>
        <w:pStyle w:val="Default"/>
      </w:pPr>
    </w:p>
    <w:p w:rsidR="00136F45" w:rsidRPr="002D3F56" w:rsidRDefault="00136F45" w:rsidP="00136F45">
      <w:pPr>
        <w:pStyle w:val="Default"/>
      </w:pPr>
      <w:r w:rsidRPr="002D3F56">
        <w:t xml:space="preserve">En 2001, Philippe Cuvelier fait l’acquisition du vignoble. De gros investissements sont alors fournis pour remettre le chai à neuf avec l’installation d’une vingtaine de cuves en inox thermo-régulées. Le second vin est désormais baptisé « Closerie de Fourtet ». Le terroir est également davantage respecté après les arrachages des vieux ceps, où un repos végétatif du sol plus long est effectué pour lui laisser le temps de se régénérer. En l’occurrence son fils, Mathieu, entouré des meilleurs spécialistes (Tony Ballu, Daniel </w:t>
      </w:r>
      <w:proofErr w:type="spellStart"/>
      <w:r w:rsidRPr="002D3F56">
        <w:t>Alard</w:t>
      </w:r>
      <w:proofErr w:type="spellEnd"/>
      <w:r w:rsidRPr="002D3F56">
        <w:t xml:space="preserve"> et Stéphane Derenoncourt) a fait passer progressivement le vignoble vers une culture raisonnée, avec des tentatives de </w:t>
      </w:r>
      <w:proofErr w:type="spellStart"/>
      <w:r w:rsidRPr="002D3F56">
        <w:t>biodynamie</w:t>
      </w:r>
      <w:proofErr w:type="spellEnd"/>
      <w:r w:rsidRPr="002D3F56">
        <w:t xml:space="preserve"> sur certaines parcelles, tâchant d’hisser et de laisser ce cru à sa place, c’est-à-dire vers les sommets.</w:t>
      </w:r>
    </w:p>
    <w:p w:rsidR="00136F45" w:rsidRDefault="00136F45" w:rsidP="00136F45">
      <w:pPr>
        <w:pStyle w:val="Default"/>
        <w:rPr>
          <w:sz w:val="23"/>
          <w:szCs w:val="23"/>
        </w:rPr>
      </w:pPr>
    </w:p>
    <w:p w:rsidR="002D3F56" w:rsidRDefault="002D3F56" w:rsidP="00136F45">
      <w:pPr>
        <w:pStyle w:val="Default"/>
        <w:rPr>
          <w:sz w:val="23"/>
          <w:szCs w:val="23"/>
        </w:rPr>
      </w:pPr>
    </w:p>
    <w:p w:rsidR="002D3F56" w:rsidRDefault="002D3F56" w:rsidP="00136F45">
      <w:pPr>
        <w:pStyle w:val="Default"/>
        <w:rPr>
          <w:sz w:val="23"/>
          <w:szCs w:val="23"/>
        </w:rPr>
      </w:pPr>
    </w:p>
    <w:p w:rsidR="002D3F56" w:rsidRDefault="002D3F56" w:rsidP="00136F45">
      <w:pPr>
        <w:pStyle w:val="Default"/>
        <w:rPr>
          <w:sz w:val="23"/>
          <w:szCs w:val="23"/>
        </w:rPr>
      </w:pPr>
    </w:p>
    <w:p w:rsidR="00136F45" w:rsidRDefault="00136F45" w:rsidP="00136F45">
      <w:pPr>
        <w:pStyle w:val="Default"/>
        <w:rPr>
          <w:sz w:val="23"/>
          <w:szCs w:val="23"/>
        </w:rPr>
      </w:pPr>
    </w:p>
    <w:p w:rsidR="00136F45" w:rsidRDefault="00136F45" w:rsidP="00136F45">
      <w:pPr>
        <w:pStyle w:val="Default"/>
        <w:rPr>
          <w:sz w:val="23"/>
          <w:szCs w:val="23"/>
        </w:rPr>
      </w:pPr>
    </w:p>
    <w:p w:rsidR="006D4ADB" w:rsidRDefault="006D4ADB" w:rsidP="006D4ADB">
      <w:pPr>
        <w:pStyle w:val="Default"/>
        <w:ind w:left="390"/>
        <w:rPr>
          <w:sz w:val="20"/>
          <w:szCs w:val="20"/>
        </w:rPr>
      </w:pPr>
      <w:r>
        <w:rPr>
          <w:sz w:val="13"/>
          <w:szCs w:val="13"/>
        </w:rPr>
        <w:t xml:space="preserve">3 </w:t>
      </w:r>
      <w:r>
        <w:rPr>
          <w:sz w:val="13"/>
          <w:szCs w:val="13"/>
        </w:rPr>
        <w:t xml:space="preserve"> </w:t>
      </w:r>
      <w:r>
        <w:rPr>
          <w:sz w:val="20"/>
          <w:szCs w:val="20"/>
        </w:rPr>
        <w:t xml:space="preserve">ENJALBERT Henri, </w:t>
      </w:r>
      <w:r>
        <w:rPr>
          <w:i/>
          <w:iCs/>
          <w:sz w:val="20"/>
          <w:szCs w:val="20"/>
        </w:rPr>
        <w:t xml:space="preserve">Les Grands Vins de Saint Emilion </w:t>
      </w:r>
      <w:proofErr w:type="spellStart"/>
      <w:r>
        <w:rPr>
          <w:i/>
          <w:iCs/>
          <w:sz w:val="20"/>
          <w:szCs w:val="20"/>
        </w:rPr>
        <w:t>Pomérol</w:t>
      </w:r>
      <w:proofErr w:type="spellEnd"/>
      <w:r>
        <w:rPr>
          <w:i/>
          <w:iCs/>
          <w:sz w:val="20"/>
          <w:szCs w:val="20"/>
        </w:rPr>
        <w:t xml:space="preserve"> et Fronsac</w:t>
      </w:r>
      <w:r>
        <w:rPr>
          <w:sz w:val="20"/>
          <w:szCs w:val="20"/>
        </w:rPr>
        <w:t xml:space="preserve">, éditions Bardi, 1983. </w:t>
      </w:r>
    </w:p>
    <w:p w:rsidR="00ED39F1" w:rsidRDefault="006D4ADB" w:rsidP="006D4ADB">
      <w:pPr>
        <w:pStyle w:val="Paragraphedeliste"/>
        <w:ind w:left="390"/>
        <w:rPr>
          <w:sz w:val="23"/>
          <w:szCs w:val="23"/>
        </w:rPr>
      </w:pPr>
      <w:r>
        <w:rPr>
          <w:sz w:val="13"/>
          <w:szCs w:val="13"/>
        </w:rPr>
        <w:t>4</w:t>
      </w:r>
      <w:r>
        <w:rPr>
          <w:sz w:val="13"/>
          <w:szCs w:val="13"/>
        </w:rPr>
        <w:t xml:space="preserve"> </w:t>
      </w:r>
      <w:r>
        <w:rPr>
          <w:sz w:val="20"/>
          <w:szCs w:val="20"/>
        </w:rPr>
        <w:t xml:space="preserve">ENJALBERT Henri, </w:t>
      </w:r>
      <w:r>
        <w:rPr>
          <w:i/>
          <w:iCs/>
          <w:sz w:val="20"/>
          <w:szCs w:val="20"/>
        </w:rPr>
        <w:t xml:space="preserve">Les Grands Vins de Saint Emilion </w:t>
      </w:r>
      <w:proofErr w:type="spellStart"/>
      <w:r>
        <w:rPr>
          <w:i/>
          <w:iCs/>
          <w:sz w:val="20"/>
          <w:szCs w:val="20"/>
        </w:rPr>
        <w:t>Pomérol</w:t>
      </w:r>
      <w:proofErr w:type="spellEnd"/>
      <w:r>
        <w:rPr>
          <w:i/>
          <w:iCs/>
          <w:sz w:val="20"/>
          <w:szCs w:val="20"/>
        </w:rPr>
        <w:t xml:space="preserve"> et Fronsac</w:t>
      </w:r>
      <w:r>
        <w:rPr>
          <w:sz w:val="20"/>
          <w:szCs w:val="20"/>
        </w:rPr>
        <w:t xml:space="preserve">, éditions Bardi, 1983. </w:t>
      </w:r>
      <w:r>
        <w:rPr>
          <w:sz w:val="23"/>
          <w:szCs w:val="23"/>
        </w:rPr>
        <w:t xml:space="preserve"> </w:t>
      </w: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Default="00ED39F1" w:rsidP="006D4ADB">
      <w:pPr>
        <w:pStyle w:val="Paragraphedeliste"/>
        <w:ind w:left="390"/>
        <w:rPr>
          <w:sz w:val="20"/>
          <w:szCs w:val="20"/>
        </w:rPr>
      </w:pPr>
    </w:p>
    <w:p w:rsidR="00ED39F1" w:rsidRPr="00ED39F1" w:rsidRDefault="00ED39F1" w:rsidP="00ED39F1">
      <w:pPr>
        <w:pStyle w:val="Default"/>
        <w:jc w:val="center"/>
        <w:rPr>
          <w:b/>
          <w:bCs/>
          <w:color w:val="auto"/>
          <w:sz w:val="36"/>
          <w:szCs w:val="36"/>
          <w:u w:val="single"/>
        </w:rPr>
      </w:pPr>
      <w:r w:rsidRPr="00ED39F1">
        <w:rPr>
          <w:b/>
          <w:bCs/>
          <w:color w:val="auto"/>
          <w:sz w:val="36"/>
          <w:szCs w:val="36"/>
          <w:u w:val="single"/>
        </w:rPr>
        <w:lastRenderedPageBreak/>
        <w:t>Annexe 1 : explications sur les médailles de l’étiquette</w:t>
      </w:r>
    </w:p>
    <w:p w:rsidR="00ED39F1" w:rsidRDefault="00ED39F1" w:rsidP="00ED39F1">
      <w:pPr>
        <w:pStyle w:val="Default"/>
        <w:jc w:val="center"/>
        <w:rPr>
          <w:b/>
          <w:bCs/>
          <w:color w:val="auto"/>
          <w:sz w:val="36"/>
          <w:szCs w:val="36"/>
          <w:u w:val="single"/>
        </w:rPr>
      </w:pPr>
    </w:p>
    <w:p w:rsidR="00ED39F1" w:rsidRPr="00ED39F1" w:rsidRDefault="00ED39F1" w:rsidP="00ED39F1">
      <w:pPr>
        <w:pStyle w:val="Default"/>
        <w:jc w:val="center"/>
        <w:rPr>
          <w:b/>
          <w:bCs/>
          <w:color w:val="auto"/>
          <w:sz w:val="36"/>
          <w:szCs w:val="36"/>
          <w:u w:val="single"/>
        </w:rPr>
      </w:pPr>
    </w:p>
    <w:p w:rsidR="00ED39F1" w:rsidRDefault="00ED39F1" w:rsidP="00ED39F1">
      <w:pPr>
        <w:pStyle w:val="Default"/>
        <w:rPr>
          <w:b/>
          <w:bCs/>
          <w:color w:val="auto"/>
          <w:sz w:val="28"/>
          <w:szCs w:val="28"/>
        </w:rPr>
      </w:pPr>
    </w:p>
    <w:p w:rsidR="00ED39F1" w:rsidRDefault="00ED39F1" w:rsidP="00ED39F1">
      <w:pPr>
        <w:pStyle w:val="Default"/>
        <w:ind w:left="1416" w:firstLine="708"/>
        <w:rPr>
          <w:color w:val="auto"/>
          <w:sz w:val="28"/>
          <w:szCs w:val="28"/>
        </w:rPr>
      </w:pPr>
      <w:r>
        <w:rPr>
          <w:color w:val="auto"/>
          <w:sz w:val="28"/>
          <w:szCs w:val="28"/>
        </w:rPr>
        <w:t xml:space="preserve">     </w:t>
      </w:r>
      <w:r w:rsidRPr="00ED39F1">
        <w:rPr>
          <w:noProof/>
          <w:color w:val="auto"/>
          <w:sz w:val="28"/>
          <w:szCs w:val="28"/>
          <w:lang w:eastAsia="fr-FR"/>
        </w:rPr>
        <w:drawing>
          <wp:inline distT="0" distB="0" distL="0" distR="0">
            <wp:extent cx="3627272" cy="24384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33460" cy="2442560"/>
                    </a:xfrm>
                    <a:prstGeom prst="rect">
                      <a:avLst/>
                    </a:prstGeom>
                    <a:noFill/>
                    <a:ln>
                      <a:noFill/>
                    </a:ln>
                  </pic:spPr>
                </pic:pic>
              </a:graphicData>
            </a:graphic>
          </wp:inline>
        </w:drawing>
      </w:r>
    </w:p>
    <w:p w:rsidR="00ED39F1" w:rsidRDefault="00ED39F1" w:rsidP="00ED39F1">
      <w:pPr>
        <w:pStyle w:val="Default"/>
        <w:ind w:left="1416" w:firstLine="708"/>
        <w:rPr>
          <w:color w:val="auto"/>
          <w:sz w:val="28"/>
          <w:szCs w:val="28"/>
        </w:rPr>
      </w:pPr>
    </w:p>
    <w:p w:rsidR="00ED39F1" w:rsidRDefault="00ED39F1" w:rsidP="00ED39F1">
      <w:pPr>
        <w:pStyle w:val="Default"/>
        <w:ind w:left="1416" w:firstLine="708"/>
        <w:rPr>
          <w:color w:val="auto"/>
          <w:sz w:val="28"/>
          <w:szCs w:val="28"/>
        </w:rPr>
      </w:pPr>
    </w:p>
    <w:p w:rsidR="00ED39F1" w:rsidRDefault="00ED39F1" w:rsidP="00ED39F1">
      <w:pPr>
        <w:pStyle w:val="Default"/>
        <w:ind w:left="1416" w:firstLine="708"/>
        <w:rPr>
          <w:color w:val="auto"/>
          <w:sz w:val="28"/>
          <w:szCs w:val="28"/>
        </w:rPr>
      </w:pPr>
    </w:p>
    <w:p w:rsidR="00ED39F1" w:rsidRDefault="00ED39F1" w:rsidP="00ED39F1">
      <w:pPr>
        <w:pStyle w:val="Default"/>
        <w:ind w:left="1416" w:firstLine="708"/>
        <w:rPr>
          <w:color w:val="auto"/>
          <w:sz w:val="28"/>
          <w:szCs w:val="28"/>
        </w:rPr>
      </w:pPr>
    </w:p>
    <w:p w:rsidR="00ED39F1" w:rsidRPr="003830CB" w:rsidRDefault="002D3F56" w:rsidP="002D3F56">
      <w:pPr>
        <w:pStyle w:val="Default"/>
        <w:rPr>
          <w:color w:val="auto"/>
          <w:sz w:val="28"/>
          <w:szCs w:val="28"/>
          <w:u w:val="single"/>
        </w:rPr>
      </w:pPr>
      <w:r w:rsidRPr="003830CB">
        <w:rPr>
          <w:b/>
          <w:bCs/>
          <w:color w:val="auto"/>
          <w:sz w:val="28"/>
          <w:szCs w:val="28"/>
        </w:rPr>
        <w:t xml:space="preserve">                        </w:t>
      </w:r>
      <w:r w:rsidR="00ED39F1" w:rsidRPr="003830CB">
        <w:rPr>
          <w:b/>
          <w:bCs/>
          <w:color w:val="auto"/>
          <w:sz w:val="28"/>
          <w:szCs w:val="28"/>
          <w:u w:val="single"/>
        </w:rPr>
        <w:t xml:space="preserve">Médaille Exposition Universelle de Paris, 1867 </w:t>
      </w:r>
      <w:r w:rsidR="00ED39F1" w:rsidRPr="003830CB">
        <w:rPr>
          <w:color w:val="auto"/>
          <w:sz w:val="28"/>
          <w:szCs w:val="28"/>
          <w:u w:val="single"/>
        </w:rPr>
        <w:t>(à gauche de l’étiquette)</w:t>
      </w:r>
    </w:p>
    <w:p w:rsidR="00ED39F1" w:rsidRDefault="00ED39F1" w:rsidP="00ED39F1">
      <w:pPr>
        <w:pStyle w:val="Default"/>
        <w:ind w:left="1416" w:firstLine="708"/>
        <w:rPr>
          <w:color w:val="auto"/>
          <w:u w:val="single"/>
        </w:rPr>
      </w:pPr>
    </w:p>
    <w:p w:rsidR="00ED39F1" w:rsidRDefault="00ED39F1" w:rsidP="00ED39F1">
      <w:pPr>
        <w:pStyle w:val="Default"/>
        <w:rPr>
          <w:color w:val="auto"/>
          <w:u w:val="single"/>
        </w:rPr>
      </w:pPr>
    </w:p>
    <w:p w:rsidR="00ED39F1" w:rsidRDefault="00ED39F1" w:rsidP="00ED39F1">
      <w:pPr>
        <w:pStyle w:val="Default"/>
        <w:rPr>
          <w:color w:val="auto"/>
          <w:u w:val="single"/>
        </w:rPr>
      </w:pPr>
    </w:p>
    <w:p w:rsidR="00ED39F1" w:rsidRPr="00ED39F1" w:rsidRDefault="00ED39F1" w:rsidP="00ED39F1">
      <w:pPr>
        <w:pStyle w:val="Default"/>
        <w:rPr>
          <w:color w:val="auto"/>
          <w:sz w:val="28"/>
          <w:szCs w:val="28"/>
        </w:rPr>
      </w:pPr>
      <w:r w:rsidRPr="00ED39F1">
        <w:rPr>
          <w:color w:val="auto"/>
        </w:rPr>
        <w:t xml:space="preserve">   </w:t>
      </w:r>
      <w:r>
        <w:rPr>
          <w:color w:val="auto"/>
        </w:rPr>
        <w:t xml:space="preserve">           </w:t>
      </w:r>
      <w:r w:rsidRPr="00ED39F1">
        <w:rPr>
          <w:color w:val="auto"/>
        </w:rPr>
        <w:t xml:space="preserve">   </w:t>
      </w:r>
      <w:r>
        <w:rPr>
          <w:color w:val="auto"/>
        </w:rPr>
        <w:t xml:space="preserve">   </w:t>
      </w:r>
      <w:r w:rsidRPr="00ED39F1">
        <w:rPr>
          <w:color w:val="auto"/>
        </w:rPr>
        <w:t xml:space="preserve">        </w:t>
      </w:r>
      <w:r w:rsidRPr="00ED39F1">
        <w:rPr>
          <w:noProof/>
          <w:color w:val="auto"/>
          <w:lang w:eastAsia="fr-FR"/>
        </w:rPr>
        <w:drawing>
          <wp:inline distT="0" distB="0" distL="0" distR="0">
            <wp:extent cx="2257921" cy="2085975"/>
            <wp:effectExtent l="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9790" cy="2087702"/>
                    </a:xfrm>
                    <a:prstGeom prst="rect">
                      <a:avLst/>
                    </a:prstGeom>
                    <a:noFill/>
                    <a:ln>
                      <a:noFill/>
                    </a:ln>
                  </pic:spPr>
                </pic:pic>
              </a:graphicData>
            </a:graphic>
          </wp:inline>
        </w:drawing>
      </w:r>
      <w:r w:rsidRPr="00ED39F1">
        <w:rPr>
          <w:noProof/>
          <w:color w:val="auto"/>
          <w:lang w:eastAsia="fr-FR"/>
        </w:rPr>
        <w:t xml:space="preserve">     </w:t>
      </w:r>
      <w:r>
        <w:rPr>
          <w:noProof/>
          <w:color w:val="auto"/>
          <w:lang w:eastAsia="fr-FR"/>
        </w:rPr>
        <w:t xml:space="preserve">         </w:t>
      </w:r>
      <w:r w:rsidRPr="00ED39F1">
        <w:rPr>
          <w:noProof/>
          <w:color w:val="auto"/>
          <w:lang w:eastAsia="fr-FR"/>
        </w:rPr>
        <w:t xml:space="preserve">     </w:t>
      </w:r>
      <w:r w:rsidRPr="00ED39F1">
        <w:rPr>
          <w:noProof/>
          <w:color w:val="auto"/>
          <w:lang w:eastAsia="fr-FR"/>
        </w:rPr>
        <w:drawing>
          <wp:inline distT="0" distB="0" distL="0" distR="0">
            <wp:extent cx="1923947" cy="2057400"/>
            <wp:effectExtent l="0" t="0" r="63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34516" cy="2068702"/>
                    </a:xfrm>
                    <a:prstGeom prst="rect">
                      <a:avLst/>
                    </a:prstGeom>
                    <a:noFill/>
                    <a:ln>
                      <a:noFill/>
                    </a:ln>
                  </pic:spPr>
                </pic:pic>
              </a:graphicData>
            </a:graphic>
          </wp:inline>
        </w:drawing>
      </w:r>
    </w:p>
    <w:p w:rsidR="00ED39F1" w:rsidRDefault="00ED39F1" w:rsidP="00ED39F1">
      <w:pPr>
        <w:pStyle w:val="Default"/>
        <w:ind w:left="1416" w:firstLine="708"/>
        <w:rPr>
          <w:color w:val="auto"/>
          <w:sz w:val="28"/>
          <w:szCs w:val="28"/>
        </w:rPr>
      </w:pPr>
    </w:p>
    <w:p w:rsidR="00ED39F1" w:rsidRPr="00ED39F1" w:rsidRDefault="00ED39F1" w:rsidP="00ED39F1">
      <w:pPr>
        <w:pStyle w:val="Default"/>
        <w:ind w:left="1416" w:firstLine="708"/>
        <w:rPr>
          <w:color w:val="auto"/>
          <w:sz w:val="28"/>
          <w:szCs w:val="28"/>
        </w:rPr>
      </w:pPr>
    </w:p>
    <w:p w:rsidR="00ED39F1" w:rsidRDefault="00ED39F1" w:rsidP="00ED39F1">
      <w:pPr>
        <w:pStyle w:val="Default"/>
        <w:rPr>
          <w:color w:val="auto"/>
          <w:sz w:val="23"/>
          <w:szCs w:val="23"/>
        </w:rPr>
      </w:pPr>
      <w:r>
        <w:rPr>
          <w:color w:val="auto"/>
          <w:sz w:val="23"/>
          <w:szCs w:val="23"/>
        </w:rPr>
        <w:t xml:space="preserve">L’Exposition Universelle de 1867, aussi appelée « Exposition Universelle d’Art et d’Industrie » est la seconde exposition organisée à Paris après celle de 1855. Elle se déroule sur le Champ-de-Mars pendant huit mois, du mois d’avril au mois de novembre. Près de 7 millions de personnes y assistent. Lors de cette exposition, la commune de Saint-Emilion reçoit la médaille d’or pour 34 propriétaires exposants pour leurs vins. </w:t>
      </w:r>
    </w:p>
    <w:p w:rsidR="00ED39F1" w:rsidRDefault="00ED39F1" w:rsidP="00ED39F1">
      <w:pPr>
        <w:pStyle w:val="Default"/>
        <w:rPr>
          <w:color w:val="auto"/>
          <w:sz w:val="23"/>
          <w:szCs w:val="23"/>
        </w:rPr>
      </w:pPr>
    </w:p>
    <w:p w:rsidR="00ED39F1" w:rsidRDefault="00ED39F1" w:rsidP="00ED39F1">
      <w:pPr>
        <w:pStyle w:val="Default"/>
        <w:rPr>
          <w:color w:val="auto"/>
          <w:sz w:val="23"/>
          <w:szCs w:val="23"/>
        </w:rPr>
      </w:pPr>
    </w:p>
    <w:p w:rsidR="002D3F56" w:rsidRDefault="002D3F56" w:rsidP="00ED39F1">
      <w:pPr>
        <w:pStyle w:val="Default"/>
        <w:rPr>
          <w:color w:val="auto"/>
          <w:sz w:val="23"/>
          <w:szCs w:val="23"/>
        </w:rPr>
      </w:pPr>
    </w:p>
    <w:p w:rsidR="002D3F56" w:rsidRDefault="002D3F56" w:rsidP="00ED39F1">
      <w:pPr>
        <w:pStyle w:val="Default"/>
        <w:rPr>
          <w:color w:val="auto"/>
          <w:sz w:val="23"/>
          <w:szCs w:val="23"/>
        </w:rPr>
      </w:pPr>
    </w:p>
    <w:p w:rsidR="002D3F56" w:rsidRDefault="002D3F56" w:rsidP="00ED39F1">
      <w:pPr>
        <w:pStyle w:val="Default"/>
        <w:rPr>
          <w:color w:val="auto"/>
          <w:sz w:val="23"/>
          <w:szCs w:val="23"/>
        </w:rPr>
      </w:pPr>
    </w:p>
    <w:p w:rsidR="002D3F56" w:rsidRDefault="002D3F56" w:rsidP="00ED39F1">
      <w:pPr>
        <w:pStyle w:val="Default"/>
        <w:rPr>
          <w:color w:val="auto"/>
          <w:sz w:val="23"/>
          <w:szCs w:val="23"/>
        </w:rPr>
      </w:pPr>
    </w:p>
    <w:p w:rsidR="00ED39F1" w:rsidRDefault="00ED39F1" w:rsidP="00ED39F1">
      <w:pPr>
        <w:pStyle w:val="Default"/>
        <w:rPr>
          <w:color w:val="auto"/>
          <w:sz w:val="23"/>
          <w:szCs w:val="23"/>
        </w:rPr>
      </w:pPr>
    </w:p>
    <w:p w:rsidR="00ED39F1" w:rsidRPr="003830CB" w:rsidRDefault="00ED39F1" w:rsidP="00ED39F1">
      <w:pPr>
        <w:pStyle w:val="Default"/>
        <w:jc w:val="center"/>
        <w:rPr>
          <w:sz w:val="28"/>
          <w:szCs w:val="28"/>
          <w:u w:val="single"/>
        </w:rPr>
      </w:pPr>
      <w:r w:rsidRPr="003830CB">
        <w:rPr>
          <w:b/>
          <w:bCs/>
          <w:sz w:val="28"/>
          <w:szCs w:val="28"/>
          <w:u w:val="single"/>
        </w:rPr>
        <w:lastRenderedPageBreak/>
        <w:t xml:space="preserve">Exposition Internationale de Bordeaux, 1895 </w:t>
      </w:r>
      <w:r w:rsidRPr="003830CB">
        <w:rPr>
          <w:sz w:val="28"/>
          <w:szCs w:val="28"/>
          <w:u w:val="single"/>
        </w:rPr>
        <w:t>(à droite de l’étiquette)</w:t>
      </w:r>
    </w:p>
    <w:p w:rsidR="002D3F56" w:rsidRDefault="002D3F56" w:rsidP="00ED39F1">
      <w:pPr>
        <w:pStyle w:val="Default"/>
        <w:jc w:val="center"/>
        <w:rPr>
          <w:u w:val="single"/>
        </w:rPr>
      </w:pPr>
    </w:p>
    <w:p w:rsidR="002D3F56" w:rsidRDefault="002D3F56" w:rsidP="00ED39F1">
      <w:pPr>
        <w:pStyle w:val="Default"/>
        <w:jc w:val="center"/>
        <w:rPr>
          <w:u w:val="single"/>
        </w:rPr>
      </w:pPr>
    </w:p>
    <w:p w:rsidR="00ED39F1" w:rsidRPr="00ED39F1" w:rsidRDefault="00ED39F1" w:rsidP="00ED39F1">
      <w:pPr>
        <w:pStyle w:val="Default"/>
        <w:jc w:val="center"/>
        <w:rPr>
          <w:color w:val="auto"/>
          <w:u w:val="single"/>
        </w:rPr>
      </w:pPr>
      <w:r w:rsidRPr="002D3F56">
        <w:rPr>
          <w:noProof/>
          <w:color w:val="auto"/>
          <w:lang w:eastAsia="fr-FR"/>
        </w:rPr>
        <w:drawing>
          <wp:inline distT="0" distB="0" distL="0" distR="0">
            <wp:extent cx="6645910" cy="3261238"/>
            <wp:effectExtent l="0" t="0" r="254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3261238"/>
                    </a:xfrm>
                    <a:prstGeom prst="rect">
                      <a:avLst/>
                    </a:prstGeom>
                    <a:noFill/>
                    <a:ln>
                      <a:noFill/>
                    </a:ln>
                  </pic:spPr>
                </pic:pic>
              </a:graphicData>
            </a:graphic>
          </wp:inline>
        </w:drawing>
      </w:r>
    </w:p>
    <w:p w:rsidR="002D3F56" w:rsidRDefault="002D3F56" w:rsidP="00ED39F1">
      <w:pPr>
        <w:pStyle w:val="Default"/>
        <w:rPr>
          <w:color w:val="auto"/>
          <w:sz w:val="23"/>
          <w:szCs w:val="23"/>
        </w:rPr>
      </w:pPr>
    </w:p>
    <w:p w:rsidR="002D3F56" w:rsidRDefault="002D3F56" w:rsidP="00ED39F1">
      <w:pPr>
        <w:pStyle w:val="Default"/>
        <w:rPr>
          <w:color w:val="auto"/>
          <w:sz w:val="23"/>
          <w:szCs w:val="23"/>
        </w:rPr>
      </w:pPr>
    </w:p>
    <w:p w:rsidR="00ED39F1" w:rsidRDefault="00ED39F1" w:rsidP="00ED39F1">
      <w:pPr>
        <w:pStyle w:val="Default"/>
        <w:rPr>
          <w:color w:val="auto"/>
          <w:sz w:val="23"/>
          <w:szCs w:val="23"/>
        </w:rPr>
      </w:pPr>
      <w:r>
        <w:rPr>
          <w:color w:val="auto"/>
          <w:sz w:val="23"/>
          <w:szCs w:val="23"/>
        </w:rPr>
        <w:t>La XIII</w:t>
      </w:r>
      <w:r>
        <w:rPr>
          <w:color w:val="auto"/>
          <w:sz w:val="16"/>
          <w:szCs w:val="16"/>
        </w:rPr>
        <w:t xml:space="preserve">ème </w:t>
      </w:r>
      <w:r>
        <w:rPr>
          <w:color w:val="auto"/>
          <w:sz w:val="23"/>
          <w:szCs w:val="23"/>
        </w:rPr>
        <w:t xml:space="preserve">Exposition « Nationale, Internationale et Universelle » de Bordeaux dure 7 mois, de mai à novembre 1895. Elle est à caractère « national et international » pour ce qui concerne l’enseignement, les Beaux-arts, l’agriculture et l’industrie, et « universel » en ce qui concerne les vins et spiritueux, l’électricité et les sciences sociales. Le Clos Fourtet </w:t>
      </w:r>
      <w:r w:rsidR="002D3F56">
        <w:rPr>
          <w:color w:val="auto"/>
          <w:sz w:val="23"/>
          <w:szCs w:val="23"/>
        </w:rPr>
        <w:t>obtient</w:t>
      </w:r>
      <w:r>
        <w:rPr>
          <w:color w:val="auto"/>
          <w:sz w:val="23"/>
          <w:szCs w:val="23"/>
        </w:rPr>
        <w:t xml:space="preserve"> la médaille d’or lors de cette exposition de Bordeaux.</w:t>
      </w:r>
    </w:p>
    <w:p w:rsidR="002D3F56" w:rsidRDefault="002D3F56" w:rsidP="00ED39F1">
      <w:pPr>
        <w:pStyle w:val="Default"/>
        <w:rPr>
          <w:color w:val="auto"/>
          <w:sz w:val="23"/>
          <w:szCs w:val="23"/>
        </w:rPr>
      </w:pPr>
    </w:p>
    <w:p w:rsidR="00A22525" w:rsidRDefault="00A22525" w:rsidP="00ED39F1">
      <w:pPr>
        <w:pStyle w:val="Default"/>
        <w:rPr>
          <w:color w:val="auto"/>
          <w:sz w:val="23"/>
          <w:szCs w:val="23"/>
        </w:rPr>
      </w:pPr>
      <w:bookmarkStart w:id="0" w:name="_GoBack"/>
      <w:bookmarkEnd w:id="0"/>
    </w:p>
    <w:p w:rsidR="00ED39F1" w:rsidRDefault="00ED39F1" w:rsidP="00ED39F1">
      <w:pPr>
        <w:pStyle w:val="Default"/>
        <w:rPr>
          <w:color w:val="auto"/>
          <w:sz w:val="23"/>
          <w:szCs w:val="23"/>
        </w:rPr>
      </w:pPr>
      <w:r>
        <w:rPr>
          <w:color w:val="auto"/>
          <w:sz w:val="23"/>
          <w:szCs w:val="23"/>
        </w:rPr>
        <w:t xml:space="preserve"> </w:t>
      </w:r>
    </w:p>
    <w:p w:rsidR="00ED39F1" w:rsidRPr="003830CB" w:rsidRDefault="00ED39F1" w:rsidP="00ED39F1">
      <w:pPr>
        <w:pStyle w:val="Default"/>
        <w:jc w:val="center"/>
        <w:rPr>
          <w:color w:val="auto"/>
          <w:sz w:val="28"/>
          <w:szCs w:val="28"/>
          <w:u w:val="single"/>
        </w:rPr>
      </w:pPr>
      <w:r w:rsidRPr="003830CB">
        <w:rPr>
          <w:b/>
          <w:bCs/>
          <w:color w:val="auto"/>
          <w:sz w:val="28"/>
          <w:szCs w:val="28"/>
          <w:u w:val="single"/>
        </w:rPr>
        <w:t xml:space="preserve">Médaille Exposition Universelle de Paris, 1900 </w:t>
      </w:r>
      <w:r w:rsidRPr="003830CB">
        <w:rPr>
          <w:color w:val="auto"/>
          <w:sz w:val="28"/>
          <w:szCs w:val="28"/>
          <w:u w:val="single"/>
        </w:rPr>
        <w:t>(au milieu de l’étiquette)</w:t>
      </w:r>
    </w:p>
    <w:p w:rsidR="002D3F56" w:rsidRDefault="002D3F56" w:rsidP="00ED39F1">
      <w:pPr>
        <w:pStyle w:val="Default"/>
        <w:jc w:val="center"/>
        <w:rPr>
          <w:color w:val="auto"/>
          <w:u w:val="single"/>
        </w:rPr>
      </w:pPr>
    </w:p>
    <w:p w:rsidR="002D3F56" w:rsidRDefault="002D3F56" w:rsidP="00ED39F1">
      <w:pPr>
        <w:pStyle w:val="Default"/>
        <w:jc w:val="center"/>
        <w:rPr>
          <w:noProof/>
          <w:color w:val="auto"/>
          <w:lang w:eastAsia="fr-FR"/>
        </w:rPr>
      </w:pPr>
      <w:r w:rsidRPr="002D3F56">
        <w:rPr>
          <w:noProof/>
          <w:color w:val="auto"/>
          <w:lang w:eastAsia="fr-FR"/>
        </w:rPr>
        <w:drawing>
          <wp:inline distT="0" distB="0" distL="0" distR="0">
            <wp:extent cx="3023770" cy="2847583"/>
            <wp:effectExtent l="0" t="0" r="571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9708" cy="2853175"/>
                    </a:xfrm>
                    <a:prstGeom prst="rect">
                      <a:avLst/>
                    </a:prstGeom>
                    <a:noFill/>
                    <a:ln>
                      <a:noFill/>
                    </a:ln>
                  </pic:spPr>
                </pic:pic>
              </a:graphicData>
            </a:graphic>
          </wp:inline>
        </w:drawing>
      </w:r>
      <w:r>
        <w:rPr>
          <w:noProof/>
          <w:color w:val="auto"/>
          <w:lang w:eastAsia="fr-FR"/>
        </w:rPr>
        <w:t xml:space="preserve">          </w:t>
      </w:r>
      <w:r w:rsidRPr="002D3F56">
        <w:rPr>
          <w:noProof/>
          <w:color w:val="auto"/>
          <w:lang w:eastAsia="fr-FR"/>
        </w:rPr>
        <w:drawing>
          <wp:inline distT="0" distB="0" distL="0" distR="0">
            <wp:extent cx="3038475" cy="2856645"/>
            <wp:effectExtent l="0" t="0" r="0" b="127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9245" cy="2857369"/>
                    </a:xfrm>
                    <a:prstGeom prst="rect">
                      <a:avLst/>
                    </a:prstGeom>
                    <a:noFill/>
                    <a:ln>
                      <a:noFill/>
                    </a:ln>
                  </pic:spPr>
                </pic:pic>
              </a:graphicData>
            </a:graphic>
          </wp:inline>
        </w:drawing>
      </w:r>
    </w:p>
    <w:p w:rsidR="002D3F56" w:rsidRPr="00ED39F1" w:rsidRDefault="002D3F56" w:rsidP="00ED39F1">
      <w:pPr>
        <w:pStyle w:val="Default"/>
        <w:jc w:val="center"/>
        <w:rPr>
          <w:color w:val="auto"/>
          <w:u w:val="single"/>
        </w:rPr>
      </w:pPr>
    </w:p>
    <w:p w:rsidR="006D4ADB" w:rsidRPr="006D4ADB" w:rsidRDefault="00ED39F1" w:rsidP="00ED39F1">
      <w:pPr>
        <w:pStyle w:val="Paragraphedeliste"/>
        <w:ind w:left="390"/>
        <w:rPr>
          <w:sz w:val="20"/>
          <w:szCs w:val="20"/>
        </w:rPr>
      </w:pPr>
      <w:r>
        <w:rPr>
          <w:sz w:val="23"/>
          <w:szCs w:val="23"/>
        </w:rPr>
        <w:t xml:space="preserve">L’Exposition Universelle de 1900 est la cinquième du même genre qui se soit organisée à Paris. Véritable vitrine de la France à la « Belle Epoque », dont il reste une trace visible, le Grand Palais. Elle dure 212 jours et attire plus de 48 millions de visiteurs. Clos Fourtet obtient une fois de plus la médaille d’or lors de cette exposition. </w:t>
      </w:r>
      <w:r w:rsidR="006D4ADB" w:rsidRPr="006D4ADB">
        <w:rPr>
          <w:sz w:val="20"/>
          <w:szCs w:val="20"/>
        </w:rPr>
        <w:t xml:space="preserve">   </w:t>
      </w:r>
    </w:p>
    <w:sectPr w:rsidR="006D4ADB" w:rsidRPr="006D4ADB" w:rsidSect="000651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8206CB"/>
    <w:multiLevelType w:val="hybridMultilevel"/>
    <w:tmpl w:val="3906FCDC"/>
    <w:lvl w:ilvl="0" w:tplc="A9F23212">
      <w:start w:val="1"/>
      <w:numFmt w:val="decimal"/>
      <w:lvlText w:val="(%1)"/>
      <w:lvlJc w:val="left"/>
      <w:pPr>
        <w:ind w:left="390" w:hanging="360"/>
      </w:pPr>
      <w:rPr>
        <w:rFonts w:hint="default"/>
        <w:sz w:val="16"/>
      </w:rPr>
    </w:lvl>
    <w:lvl w:ilvl="1" w:tplc="040C0019" w:tentative="1">
      <w:start w:val="1"/>
      <w:numFmt w:val="lowerLetter"/>
      <w:lvlText w:val="%2."/>
      <w:lvlJc w:val="left"/>
      <w:pPr>
        <w:ind w:left="1110" w:hanging="360"/>
      </w:pPr>
    </w:lvl>
    <w:lvl w:ilvl="2" w:tplc="040C001B" w:tentative="1">
      <w:start w:val="1"/>
      <w:numFmt w:val="lowerRoman"/>
      <w:lvlText w:val="%3."/>
      <w:lvlJc w:val="right"/>
      <w:pPr>
        <w:ind w:left="1830" w:hanging="180"/>
      </w:pPr>
    </w:lvl>
    <w:lvl w:ilvl="3" w:tplc="040C000F" w:tentative="1">
      <w:start w:val="1"/>
      <w:numFmt w:val="decimal"/>
      <w:lvlText w:val="%4."/>
      <w:lvlJc w:val="left"/>
      <w:pPr>
        <w:ind w:left="2550" w:hanging="360"/>
      </w:pPr>
    </w:lvl>
    <w:lvl w:ilvl="4" w:tplc="040C0019" w:tentative="1">
      <w:start w:val="1"/>
      <w:numFmt w:val="lowerLetter"/>
      <w:lvlText w:val="%5."/>
      <w:lvlJc w:val="left"/>
      <w:pPr>
        <w:ind w:left="3270" w:hanging="360"/>
      </w:pPr>
    </w:lvl>
    <w:lvl w:ilvl="5" w:tplc="040C001B" w:tentative="1">
      <w:start w:val="1"/>
      <w:numFmt w:val="lowerRoman"/>
      <w:lvlText w:val="%6."/>
      <w:lvlJc w:val="right"/>
      <w:pPr>
        <w:ind w:left="3990" w:hanging="180"/>
      </w:pPr>
    </w:lvl>
    <w:lvl w:ilvl="6" w:tplc="040C000F" w:tentative="1">
      <w:start w:val="1"/>
      <w:numFmt w:val="decimal"/>
      <w:lvlText w:val="%7."/>
      <w:lvlJc w:val="left"/>
      <w:pPr>
        <w:ind w:left="4710" w:hanging="360"/>
      </w:pPr>
    </w:lvl>
    <w:lvl w:ilvl="7" w:tplc="040C0019" w:tentative="1">
      <w:start w:val="1"/>
      <w:numFmt w:val="lowerLetter"/>
      <w:lvlText w:val="%8."/>
      <w:lvlJc w:val="left"/>
      <w:pPr>
        <w:ind w:left="5430" w:hanging="360"/>
      </w:pPr>
    </w:lvl>
    <w:lvl w:ilvl="8" w:tplc="040C001B" w:tentative="1">
      <w:start w:val="1"/>
      <w:numFmt w:val="lowerRoman"/>
      <w:lvlText w:val="%9."/>
      <w:lvlJc w:val="right"/>
      <w:pPr>
        <w:ind w:left="61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80"/>
    <w:rsid w:val="00065180"/>
    <w:rsid w:val="00136F45"/>
    <w:rsid w:val="002D3F56"/>
    <w:rsid w:val="003830CB"/>
    <w:rsid w:val="005B70B5"/>
    <w:rsid w:val="006D4ADB"/>
    <w:rsid w:val="00A22525"/>
    <w:rsid w:val="00ED39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24F391-3C51-4E01-ACB0-00FAA1669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065180"/>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qFormat/>
    <w:rsid w:val="006D4ADB"/>
    <w:pPr>
      <w:ind w:left="720"/>
      <w:contextualSpacing/>
    </w:pPr>
  </w:style>
  <w:style w:type="character" w:styleId="Lienhypertexte">
    <w:name w:val="Hyperlink"/>
    <w:basedOn w:val="Policepardfaut"/>
    <w:uiPriority w:val="99"/>
    <w:unhideWhenUsed/>
    <w:rsid w:val="006D4A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gnobledebordeaux.fr/tourism_st_em.php" TargetMode="External"/><Relationship Id="rId13" Type="http://schemas.openxmlformats.org/officeDocument/2006/relationships/image" Target="media/image7.emf"/><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0D277-447A-47A4-AD70-502C58D99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Pages>
  <Words>1455</Words>
  <Characters>8008</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1</cp:revision>
  <dcterms:created xsi:type="dcterms:W3CDTF">2016-12-19T10:10:00Z</dcterms:created>
  <dcterms:modified xsi:type="dcterms:W3CDTF">2016-12-19T11:43:00Z</dcterms:modified>
</cp:coreProperties>
</file>